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المتولي
</w:t>
      </w:r>
    </w:p>
    <w:p>
      <w:pPr>
        <w:jc w:val="start"/>
        <w:bidi/>
      </w:pPr>
      <w:r>
        <w:rPr>
          <w:rFonts w:ascii="arial" w:hAnsi="arial" w:eastAsia="arial" w:cs="arial"/>
          <w:sz w:val="28"/>
          <w:szCs w:val="28"/>
          <w:b w:val="1"/>
          <w:bCs w:val="1"/>
          <w:rtl/>
        </w:rPr>
        <w:t xml:space="preserve">المتولي
</w:t>
      </w:r>
    </w:p>
    <w:p>
      <w:pPr/>
      <w:r>
        <w:rPr/>
        <w:t xml:space="preserve">المتولي  عبد الرحمن بن مأمون النيسابوري، أبو سعد، المعروف بالمتولي: فقيه مناظر، عالم بالاصاول. ولد بنيسابور، وتعلم بمرو. وتولى التدريس بالمدرسة النظامية، ببغداد، وتوفى فيها. له (تتمة الابانة، للفوراني - خ) كبير في فقه الشافعية، لم يكمله، وكتاب في (الفرائض) مختصر، وكتاب في (اصول الدين) مختصر. </w:t>
      </w:r>
    </w:p>
    <w:p>
      <w:pPr>
        <w:jc w:val="start"/>
        <w:bidi/>
      </w:pPr>
      <w:r>
        <w:rPr>
          <w:sz w:val="24"/>
          <w:szCs w:val="24"/>
          <w:b w:val="1"/>
          <w:bCs w:val="1"/>
          <w:rtl/>
        </w:rPr>
        <w:t xml:space="preserve">
الأعلام،(دار العلم للملايين - بيروت،2002،ط 15،ج 3،ص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المتولي الشافعي
</w:t>
      </w:r>
    </w:p>
    <w:p>
      <w:pPr/>
      <w:r>
        <w:rPr/>
        <w:t xml:space="preserve">المتولي الشافعي اسمه عبد الرحمن بن مأمون.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المتولي الشافعي
</w:t>
      </w:r>
    </w:p>
    <w:p>
      <w:pPr/>
      <w:r>
        <w:rPr/>
        <w:t xml:space="preserve">المتولي الشافعي عبد الرحمن بن مأمون.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المتولي
</w:t>
      </w:r>
    </w:p>
    <w:p>
      <w:pPr/>
      <w:r>
        <w:rPr/>
        <w:t xml:space="preserve">المتولي العلامة شيخ الشافعية، أبو سعد، عبد الرحمن بن مأمون بن علي النيسابوري المتولي.</w:t>
      </w:r>
    </w:p>
    <w:p/>
    <w:p>
      <w:pPr/>
      <w:r>
        <w:rPr/>
        <w:t xml:space="preserve">درس ببغداد بالنظامية بعد الشيخ أبي إسحاق، ثم عزل بابن الصباغ، ثم بعد مديدة أعيد إليها.</w:t>
      </w:r>
    </w:p>
    <w:p/>
    <w:p>
      <w:pPr/>
      <w:r>
        <w:rPr/>
        <w:t xml:space="preserve">تفقه بالقاضي حسين، وبأبي سهل أحمد بن علي ببخارى، وعلى الفوراني بمرو، وبرع، وبذ الأقران.</w:t>
      </w:r>
    </w:p>
    <w:p/>
    <w:p>
      <w:pPr/>
      <w:r>
        <w:rPr/>
        <w:t xml:space="preserve">وله كتاب ’’التتمة’’ الذي تمم به ’’الإبانة’’ لشيخه أبي القاسم الفوراني، فعاجلته المنية عن تكميله، انتهى فيه إلى الحدود. وله مختصر في الفرائض، وآخر في الأصول، وكتاب كبير في الخلاف.</w:t>
      </w:r>
    </w:p>
    <w:p/>
    <w:p>
      <w:pPr/>
      <w:r>
        <w:rPr/>
        <w:t xml:space="preserve">مات ببغداد سنة ثمان وسبعين كهلا، وله اثنتان وخمسون سنة، رحمه الله.</w:t>
      </w:r>
    </w:p>
    <w:p/>
    <w:p>
      <w:pPr/>
      <w:r>
        <w:rPr/>
        <w:t xml:space="preserve">قاضي حلب، ابن أبي الشخباء: </w:t>
      </w:r>
    </w:p>
    <w:p>
      <w:pPr>
        <w:jc w:val="start"/>
        <w:bidi/>
      </w:pPr>
      <w:r>
        <w:rPr>
          <w:sz w:val="24"/>
          <w:szCs w:val="24"/>
          <w:b w:val="1"/>
          <w:bCs w:val="1"/>
          <w:rtl/>
        </w:rPr>
        <w:t xml:space="preserve">
سير أعلام النبلاء،(دار الحديث- القاهرة،2006،ط 0،ج 14،ص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المتولي
</w:t>
      </w:r>
    </w:p>
    <w:p>
      <w:pPr/>
      <w:r>
        <w:rPr/>
        <w:t xml:space="preserve">المتولي شيخ الشافعية، أبو سعد عبد الرحمن بن مأمون بن علي بن محمد الأبيوردي، المتولي، تفقه ببخارى وغيرها، وهو من أصحاب القاضي حسين، وكان رأسا في الفقه والأصول، ذكيا، مناظرا، حسن الشكل، كيسا متواضعا، تمم كتاب ’’الإبانة’’ للفوراني، فجاء في عشرة أسفار، ’’والإبانة’’ سفران، وكان يلقب بشرف الأئمة.</w:t>
      </w:r>
    </w:p>
    <w:p/>
    <w:p>
      <w:pPr/>
      <w:r>
        <w:rPr/>
        <w:t xml:space="preserve">مولده بأبيورد سنة سبع وعشرين وأربع مائة، ومات في شوال سنة ثمان وسبعين وأربع مائة، ورثي بقصائد، وقد درس بالنظامية بعد وفاة الشيخ أبي إسحاق مدة يسيرة، ثم صرف بابن الصباغ. تفقه عليه جماعة.</w:t>
      </w:r>
    </w:p>
    <w:p>
      <w:pPr>
        <w:jc w:val="start"/>
        <w:bidi/>
      </w:pPr>
      <w:r>
        <w:rPr>
          <w:sz w:val="24"/>
          <w:szCs w:val="24"/>
          <w:b w:val="1"/>
          <w:bCs w:val="1"/>
          <w:rtl/>
        </w:rPr>
        <w:t xml:space="preserve">
سير أعلام النبلاء،(دار الحديث- القاهرة،2006،ط 0،ج 14،ص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مأمون بن علي بن إبراهيم الشيخ الإمام أبو سعد بن أبي سعيد المتولي
</w:t>
      </w:r>
    </w:p>
    <w:p>
      <w:pPr/>
      <w:r>
        <w:rPr/>
        <w:t xml:space="preserve">عبد الرحمن بن مأمون بن علي بن إبراهيم الشيخ الإمام أبو سعد بن أبي سعيد المتولي صاحب التتمة أحد الأئمة الرفعاء من أصحابنا</w:t>
      </w:r>
    </w:p>
    <w:p/>
    <w:p>
      <w:pPr/>
      <w:r>
        <w:rPr/>
        <w:t xml:space="preserve">مولده سنة ست أو سبع وعشرين وأربعمائة</w:t>
      </w:r>
    </w:p>
    <w:p/>
    <w:p>
      <w:pPr/>
      <w:r>
        <w:rPr/>
        <w:t xml:space="preserve">أخذ الفقه عن ثلاثة من الأئمة بثلاثة من البلاد عن القاضي الحسين بمرو الروذ</w:t>
      </w:r>
    </w:p>
    <w:p/>
    <w:p>
      <w:pPr/>
      <w:r>
        <w:rPr/>
        <w:t xml:space="preserve">وعن أبي سهل أحمد بن علي الأبيوردي ببخارى وعن الفوراني بمرو</w:t>
      </w:r>
    </w:p>
    <w:p/>
    <w:p>
      <w:pPr/>
      <w:r>
        <w:rPr/>
        <w:t xml:space="preserve">وبرع في المذهب وبعد صيته</w:t>
      </w:r>
    </w:p>
    <w:p/>
    <w:p>
      <w:pPr/>
      <w:r>
        <w:rPr/>
        <w:t xml:space="preserve">وله كتاب التتمة على إبانة شيخه الفوراني وصل فيها إلى الحدود ومات</w:t>
      </w:r>
    </w:p>
    <w:p/>
    <w:p>
      <w:pPr/>
      <w:r>
        <w:rPr/>
        <w:t xml:space="preserve">وله مختصر في الفرائض وكتاب في الخلاف ومصنف في أصول الدين على طريق الأشعري</w:t>
      </w:r>
    </w:p>
    <w:p/>
    <w:p>
      <w:pPr/>
      <w:r>
        <w:rPr/>
        <w:t xml:space="preserve">وسمع الحديث من الأستاذ أبي القاسم القشيري وأبي عثمان الصابوني وأبي الحسين عبد الغافر بن محمد الفارسي وغيرهم</w:t>
      </w:r>
    </w:p>
    <w:p/>
    <w:p>
      <w:pPr/>
      <w:r>
        <w:rPr/>
        <w:t xml:space="preserve">وحدث بشيء يسير</w:t>
      </w:r>
    </w:p>
    <w:p/>
    <w:p>
      <w:pPr/>
      <w:r>
        <w:rPr/>
        <w:t xml:space="preserve">وروى عنه جماعة ودرس بالنظامية بعد الشيخ أبي إسحاق ثم عزل بابن الصباغ ثم أعيد واستمر إلى حين وفاته</w:t>
      </w:r>
    </w:p>
    <w:p/>
    <w:p>
      <w:pPr/>
      <w:r>
        <w:rPr/>
        <w:t xml:space="preserve">توفي ليلة الجمعة الثامن عشر من شوال سنة ثمان وسبعين وأربعمائة</w:t>
      </w:r>
    </w:p>
    <w:p/>
    <w:p>
      <w:pPr/>
      <w:r>
        <w:rPr/>
        <w:t xml:space="preserve">ومن الفوائد عن أبي سعد رحمه الله</w:t>
      </w:r>
    </w:p>
    <w:p/>
    <w:p>
      <w:pPr/>
      <w:r>
        <w:rPr/>
        <w:t xml:space="preserve">لو جنى على ثديها فانقطع لبنها فعليه الحكومة وكذا لو لم يكن لها ولد عند الجناية وولدت بعد ذلك فلم يدر لها لبن إذا قال أهل البصر إن الانقطاع بسبب الجناية أو جوزوا أن يكون بسببها قال الرافعي عن الإمام احتمال أنه تجب الدية بإبطال منفعة الإرضاع</w:t>
      </w:r>
    </w:p>
    <w:p/>
    <w:p>
      <w:pPr/>
      <w:r>
        <w:rPr/>
        <w:t xml:space="preserve">يعني كما تجب بإبطال الإمناء</w:t>
      </w:r>
    </w:p>
    <w:p/>
    <w:p>
      <w:pPr/>
      <w:r>
        <w:rPr/>
        <w:t xml:space="preserve">قلت هذا الاحتمال هو المجزوم به في التتمة في الكلام على الثديين</w:t>
      </w:r>
    </w:p>
    <w:p/>
    <w:p>
      <w:pPr/>
      <w:r>
        <w:rPr/>
        <w:t xml:space="preserve">وذكر الرافعي في باب الوليمة قول القفال إن الضيف لا يملك ما يأكله بل هو إتلاف بإباحة المالك وقول أكثرهم إنه يملك ثم اختلافهم في أنه هل يملك بالوضع أو بالأخذ أو بالازدراد يتبين أنه ملك قبله ثم قال وزيف المتولي ما سوى الوجه الأخير وذلك يقتضى ترجيحه</w:t>
      </w:r>
    </w:p>
    <w:p/>
    <w:p>
      <w:pPr/>
      <w:r>
        <w:rPr/>
        <w:t xml:space="preserve">ومن اقتصر على كلام الرافعي هذا تخيل أن المتولي زيف قول القفال وكذلك فهم الوالد في باب القرض من شرح المهذب عن الرافعي</w:t>
      </w:r>
    </w:p>
    <w:p/>
    <w:p>
      <w:pPr/>
      <w:r>
        <w:rPr/>
        <w:t xml:space="preserve">وأنا أقول إنما أراد الرافعي أن صاحب التتمة زيف ما عدا الوجه الأخير من وجود الملك أما قول القفال فلم يضعفه فإني كشفت التتمة فلم أجده ضعفه بل سياق كلامه يقتضى تقويته ثم صرح في كتاب الأيمان أنه الصحيح وتبعه الرافعي أيضا في كتاب الأيمان على ذلك في مسألة الحالف ألا يهب</w:t>
      </w:r>
    </w:p>
    <w:p/>
    <w:p>
      <w:pPr/>
      <w:r>
        <w:rPr/>
        <w:t xml:space="preserve">قول الأصحاب إن الخمر إذا انقلبت بنفسها خلا طهرت قيده صاحب التتمة بما إذا لم يقع فيها نجاسة أخرى فإن وقعت في الخمر نجاسة من عظم ميتة ونحوه فأخرجت منها ثم انقلبت الخمر خلا لم تطهر بلا خلاف</w:t>
      </w:r>
    </w:p>
    <w:p/>
    <w:p>
      <w:pPr/>
      <w:r>
        <w:rPr/>
        <w:t xml:space="preserve">ونقله النووي في كتاب المنثورات وعيون المسائل والفتاوي المهمات عن المتولي ساكتا عليه وقال إنه ذكره في باب الاستطابة</w:t>
      </w:r>
    </w:p>
    <w:p/>
    <w:p>
      <w:pPr/>
      <w:r>
        <w:rPr/>
        <w:t xml:space="preserve">ونظيره إذا ولغ الكلب في إناء متنجس بالبول فلا يطهر وإن زالت نجاسة البول حتى يعفر لأجل الولوغ</w:t>
      </w:r>
    </w:p>
    <w:p/>
    <w:p>
      <w:pPr/>
      <w:r>
        <w:rPr/>
        <w:t xml:space="preserve">وكذلك إذا استنجى بروث فيتعين استعمال الماء</w:t>
      </w:r>
    </w:p>
    <w:p/>
    <w:p>
      <w:pPr/>
      <w:r>
        <w:rPr/>
        <w:t xml:space="preserve">ولو دبغ الجلد بالنجاسة حصل الدباغ على الأصح ثم يجب غسله بعد ذلك لا محالة بخلاف المدبوغ بالشيء الطاهر فإن في وجوب غسله خلافا</w:t>
      </w:r>
    </w:p>
    <w:p>
      <w:pPr>
        <w:jc w:val="start"/>
        <w:bidi/>
      </w:pPr>
      <w:r>
        <w:rPr>
          <w:sz w:val="24"/>
          <w:szCs w:val="24"/>
          <w:b w:val="1"/>
          <w:bCs w:val="1"/>
          <w:rtl/>
        </w:rPr>
        <w:t xml:space="preserve">
طبقات الشافعية الكبرى،(دار هجر - القاهرة،1992،ط 2،ج 5،ص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مأمون، أبو سعد المتولي النيسابوري، الفقيه الشافعي.
</w:t>
      </w:r>
    </w:p>
    <w:p>
      <w:pPr/>
      <w:r>
        <w:rPr/>
        <w:t xml:space="preserve">عبد الرحمن بن مأمون، أبو سعد المتولي النيسابوري، الفقيه الشافعي. </w:t>
      </w:r>
    </w:p>
    <w:p/>
    <w:p>
      <w:pPr/>
      <w:r>
        <w:rPr/>
        <w:t xml:space="preserve">تفقه على القاضي حسين، وجماعة. حدث عن القاضي حسين، وسمع منه: أبو عبد الله الحميدي، وأبو بكر بن عبد الباقي، وجماعة. وروى عنه أبو الحسن علي بن أحمد بن الحسن الموحد.</w:t>
      </w:r>
    </w:p>
    <w:p/>
    <w:p>
      <w:pPr/>
      <w:r>
        <w:rPr/>
        <w:t xml:space="preserve">قال ابن النجار: كان أحسن الناس خلقاً وخلقاً، وأكثر العلماء تواضعاً ومروة، وكان فقيهاً محققاً، ومناظراً مدققاً، وله في الأصول يد قوية، مع فصاحة وبلاغة. وأثنى عليه ابن البرداني.</w:t>
      </w:r>
    </w:p>
    <w:p/>
    <w:p>
      <w:pPr/>
      <w:r>
        <w:rPr/>
        <w:t xml:space="preserve">توفي سنة ثمان وسبعين وأربعمائة، ومولده سنة سبع وعشرين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مأمون أبو سعد المتولي
</w:t>
      </w:r>
    </w:p>
    <w:p>
      <w:pPr/>
      <w:r>
        <w:rPr/>
        <w:t xml:space="preserve">عبد الرحمن بن مأمون أبو سعد المتولي </w:t>
      </w:r>
    </w:p>
    <w:p/>
    <w:p>
      <w:pPr/>
      <w:r>
        <w:rPr/>
        <w:t xml:space="preserve">صاحب ’’تتمة الإبانة’’ بلغ فيها إلى الحدود وله أيضاً كتاب في الخلاف، ومختصر في الفرائض، ومصنف في الأصول، أخذ الفقه عن القاضي حسين وغيره، ولى تدريس النظامية بعد الشيخ أبي إسحاق فعزل بابن الصباغ بعد أقل من شهر ثم أعيد إليها سنة سبع وسبعين إلى أن توفي سنة ثمان وسبعين وأربعمائة، وكانت ولادته سنة ست وعشرين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2026-07-27T10:04:54+03:00</dcterms:created>
  <dcterms:modified xsi:type="dcterms:W3CDTF">2026-07-27T10:04:54+03:00</dcterms:modified>
</cp:coreProperties>
</file>

<file path=docProps/custom.xml><?xml version="1.0" encoding="utf-8"?>
<Properties xmlns="http://schemas.openxmlformats.org/officeDocument/2006/custom-properties" xmlns:vt="http://schemas.openxmlformats.org/officeDocument/2006/docPropsVTypes"/>
</file>