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 عبد الرحمن بن عبد المحسن بن عمر بن عبد المنعم، أبو الفرج تقي الدين الأنصاري الواسطي الرفاعي الشافعي: من حفاظ الحديث. توفي ببغداد. من كتبه (ترياق المحبين - ط) في مناقب أحمد الرفاعي وطبقات أتباعه و (اللؤلؤة) في الحديث، محذوف الأسانيد، و (شرح حرز الأماني) للشاطبي.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المحسن بن عمر
</w:t>
      </w:r>
    </w:p>
    <w:p>
      <w:pPr/>
      <w:r>
        <w:rPr/>
        <w:t xml:space="preserve">عبد الرحمن بن عبد المحسن بن عمر ابن شهاب، الإمام المفتي الشيخ تقي الدين أبو الفرج الواسطي الشافعي، محدث واسط.</w:t>
      </w:r>
    </w:p>
    <w:p/>
    <w:p>
      <w:pPr/>
      <w:r>
        <w:rPr/>
        <w:t xml:space="preserve">قدم دمشق، وحج مرات، وسمع هو وشيخنا الذهبي، وأخذ عن المخزمي، وبنت جوهر، والموجودين.</w:t>
      </w:r>
    </w:p>
    <w:p/>
    <w:p>
      <w:pPr/>
      <w:r>
        <w:rPr/>
        <w:t xml:space="preserve">وكان ذا مروءة، ومحاسن مخبوءه، متواضعا لمن يلقاه، إذا رأى شرا بصاحبه توقاه، كيسا خيرا، ذا باطن بالإخلاص نيرا.</w:t>
      </w:r>
    </w:p>
    <w:p/>
    <w:p>
      <w:pPr/>
      <w:r>
        <w:rPr/>
        <w:t xml:space="preserve">قال شيخنا شمس الدين: حصل كثيرا من مروياته، وحدثنا عنه ابن ثردة الواعظ، وصحب الشيخ عز الدين الفاروثي.</w:t>
      </w:r>
    </w:p>
    <w:p/>
    <w:p>
      <w:pPr/>
      <w:r>
        <w:rPr/>
        <w:t xml:space="preserve">وتوفي رحمه الله تعالى ببغداد سنة أربع وأربعين وسبع مئة.</w:t>
      </w:r>
    </w:p>
    <w:p/>
    <w:p>
      <w:pPr/>
      <w:r>
        <w:rPr/>
        <w:t xml:space="preserve">ومولده سنة أربع وسبعين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تقي الدين عبد الرحمن بن عبد المحسن.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2026-05-06T18:38:30+03:00</dcterms:created>
  <dcterms:modified xsi:type="dcterms:W3CDTF">2026-05-06T18:38:30+03:00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