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عبد الرحمن بن عبد العزيز المغربي التادلي المدني المالكي السماني طريقة: لغوي قدم المدينة المنورة حوالي سنة 1175 وتصوف بها على يد الشيخ محمد السمان وسافر إلى مكة ودرس بها. ثم قام برحلة إلى مصر فاليمن (1186) وعاد إلى المدينة فتزوج. واستوطن مصر. له (الوشاح وتثقيف الرماح في رد توهيم المجد للصحاح - ط).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2026-05-06T17:30:28+03:00</dcterms:created>
  <dcterms:modified xsi:type="dcterms:W3CDTF">2026-05-06T17:30:28+03:00</dcterms:modified>
</cp:coreProperties>
</file>

<file path=docProps/custom.xml><?xml version="1.0" encoding="utf-8"?>
<Properties xmlns="http://schemas.openxmlformats.org/officeDocument/2006/custom-properties" xmlns:vt="http://schemas.openxmlformats.org/officeDocument/2006/docPropsVTypes"/>
</file>