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البغدادي
</w:t>
      </w:r>
    </w:p>
    <w:p>
      <w:pPr>
        <w:jc w:val="start"/>
        <w:bidi/>
      </w:pPr>
      <w:r>
        <w:rPr>
          <w:rFonts w:ascii="arial" w:hAnsi="arial" w:eastAsia="arial" w:cs="arial"/>
          <w:sz w:val="28"/>
          <w:szCs w:val="28"/>
          <w:b w:val="1"/>
          <w:bCs w:val="1"/>
          <w:rtl/>
        </w:rPr>
        <w:t xml:space="preserve">ابن البغدادي
</w:t>
      </w:r>
    </w:p>
    <w:p>
      <w:pPr/>
      <w:r>
        <w:rPr/>
        <w:t xml:space="preserve">ابن البغدادي  عبد الرحمن بن أحمد بن علي بن المبارك، ابومحمد، ابن البغدادي: مفسر، مصري المولد والدار والوفاة، انتهت اليه مشيخة الافراء في الديار المصرية. من كتبه (اختصار البحر المحيط) لابي حيان، في التفسير، و (شرح الشاطبية). </w:t>
      </w:r>
    </w:p>
    <w:p>
      <w:pPr>
        <w:jc w:val="start"/>
        <w:bidi/>
      </w:pPr>
      <w:r>
        <w:rPr>
          <w:sz w:val="24"/>
          <w:szCs w:val="24"/>
          <w:b w:val="1"/>
          <w:bCs w:val="1"/>
          <w:rtl/>
        </w:rPr>
        <w:t xml:space="preserve">
الأعلام،(دار العلم للملايين - بيروت،2002،ط 15،ج 3،ص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علي بن المبارك بن معالي أبو محمد بن البغدادي
</w:t>
      </w:r>
    </w:p>
    <w:p>
      <w:pPr/>
      <w:r>
        <w:rPr/>
        <w:t xml:space="preserve">عبد الرحمن بن أحمد بن علي بن المبارك بن معالي أبو محمد بن البغدادي. ويقال له أيضا الواسطي، ثم المصري المولد والدار والوفاة، الشافعي الإمام العالم العلامة.</w:t>
      </w:r>
    </w:p>
    <w:p/>
    <w:p>
      <w:pPr/>
      <w:r>
        <w:rPr/>
        <w:t xml:space="preserve">ولد سنة اثنتين وسبعمائة.</w:t>
      </w:r>
    </w:p>
    <w:p/>
    <w:p>
      <w:pPr/>
      <w:r>
        <w:rPr/>
        <w:t xml:space="preserve">وقرأ بالروايات الكثيرة على الأستاذ التقي محمد بن أحمد الصائغ، وبرع في الفن وانتهت إليه مشيخة الإقراء بالديار المصرية مع الصيانة والخير والانقطاع عن الناس.</w:t>
      </w:r>
    </w:p>
    <w:p/>
    <w:p>
      <w:pPr/>
      <w:r>
        <w:rPr/>
        <w:t xml:space="preserve">وأخذ العربية عن أبي حيان، والفقه عن ابن عدلان، وشرح «الشاطبية» شرحين، واختصر «البحر المحيط» في التفسير، لأبي حيان، ونظم «غاية الاحسان» في النحو له، وقرأه عليه، وكتب له خطه عليه.</w:t>
      </w:r>
    </w:p>
    <w:p/>
    <w:p>
      <w:pPr/>
      <w:r>
        <w:rPr/>
        <w:t xml:space="preserve">قرأ عليه ابن الجزري، ونور الدين علي بن سلامة المكي، وغيرهما.</w:t>
      </w:r>
    </w:p>
    <w:p/>
    <w:p>
      <w:pPr/>
      <w:r>
        <w:rPr/>
        <w:t xml:space="preserve">وجاور بمكة مرارا، منها سنة ثمان وستين، فقرأ عليه السبع بها الحافظ زين الدين عبد الرحيم بن الحسين العراقي.</w:t>
      </w:r>
    </w:p>
    <w:p/>
    <w:p>
      <w:pPr/>
      <w:r>
        <w:rPr/>
        <w:t xml:space="preserve">توفي بمصر يوم الخميس تاسع صفر سنة إحدى وثمانين وسبعمائة.</w:t>
      </w:r>
    </w:p>
    <w:p/>
    <w:p>
      <w:pPr/>
      <w:r>
        <w:rPr/>
        <w:t xml:space="preserve">ذكره ابن الجزري.</w:t>
      </w:r>
    </w:p>
    <w:p>
      <w:pPr>
        <w:jc w:val="start"/>
        <w:bidi/>
      </w:pPr>
      <w:r>
        <w:rPr>
          <w:sz w:val="24"/>
          <w:szCs w:val="24"/>
          <w:b w:val="1"/>
          <w:bCs w:val="1"/>
          <w:rtl/>
        </w:rPr>
        <w:t xml:space="preserve">
طبقات المفسرين للداوودي،(دار الكتب العلمية - بيروت،0000،ط 0،ج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2026-05-06T15:25:47+03:00</dcterms:created>
  <dcterms:modified xsi:type="dcterms:W3CDTF">2026-05-06T15:25:47+03:00</dcterms:modified>
</cp:coreProperties>
</file>

<file path=docProps/custom.xml><?xml version="1.0" encoding="utf-8"?>
<Properties xmlns="http://schemas.openxmlformats.org/officeDocument/2006/custom-properties" xmlns:vt="http://schemas.openxmlformats.org/officeDocument/2006/docPropsVTypes"/>
</file>