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الدقوقي
</w:t>
      </w:r>
    </w:p>
    <w:p>
      <w:pPr>
        <w:jc w:val="start"/>
        <w:bidi/>
      </w:pPr>
      <w:r>
        <w:rPr>
          <w:rFonts w:ascii="arial" w:hAnsi="arial" w:eastAsia="arial" w:cs="arial"/>
          <w:sz w:val="28"/>
          <w:szCs w:val="28"/>
          <w:b w:val="1"/>
          <w:bCs w:val="1"/>
          <w:rtl/>
        </w:rPr>
        <w:t xml:space="preserve">ابن الدقوقي
</w:t>
      </w:r>
    </w:p>
    <w:p>
      <w:pPr/>
      <w:r>
        <w:rPr/>
        <w:t xml:space="preserve">ابن الدقوقي  عبد الرحمن بن أحمد بن عبد الرحمن، ابن الدقوقي، أبو محمد: مقرئ، من التجار. ولد بخان بالق من بلاد الخطا، ونشأ بالموصل، وتوفى بناحية ماردين. له (الحواشي المفيدة في شرح القصيدة) يعني الشاطبية، في القراآت.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الرحمن بن عبد الأعلى الدقوقي أبو محمد
</w:t>
      </w:r>
    </w:p>
    <w:p>
      <w:pPr/>
      <w:r>
        <w:rPr/>
        <w:t xml:space="preserve">عبد الرحمن بن أحمد بن عبد الرحمن بن عبد الأعلى الدقوقي أبو محمد عبد الرحمن بن أحمد بن عبد الرحمن بن عبد الأعلى الدقوقي أبو محمد ولد ببلاد الخطا سنة 68 ونشأ بالموصل وقرأ على العز محمد بن أبي بكر الضرير وعمر بن خروف وقدم الشام وصنف الحواشي المفيدة في شرح القصيدة ذكره الذهبي في آخر طبقات القراء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2026-05-06T15:36:37+03:00</dcterms:created>
  <dcterms:modified xsi:type="dcterms:W3CDTF">2026-05-06T15:36:37+03:00</dcterms:modified>
</cp:coreProperties>
</file>

<file path=docProps/custom.xml><?xml version="1.0" encoding="utf-8"?>
<Properties xmlns="http://schemas.openxmlformats.org/officeDocument/2006/custom-properties" xmlns:vt="http://schemas.openxmlformats.org/officeDocument/2006/docPropsVTypes"/>
</file>