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العراقي
</w:t>
      </w:r>
    </w:p>
    <w:p>
      <w:pPr/>
      <w:r>
        <w:rPr/>
        <w:t xml:space="preserve">ابن العراقي  عبد الحكم بن أبي اسحاق ابراهيم بن منصور: فاضل، نبيل القدر، له خطب جيدة وشعر لطيف. مولده ووفاته بمصر. وكان خطيب ’’الجامع العتيق’’ فيها.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العراقي الخطيب
</w:t>
      </w:r>
    </w:p>
    <w:p>
      <w:pPr/>
      <w:r>
        <w:rPr/>
        <w:t xml:space="preserve">ابن العراقي الخطيب عبد الحكم بن إبراهيم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2026-05-04T05:13:56+03:00</dcterms:created>
  <dcterms:modified xsi:type="dcterms:W3CDTF">2026-05-04T05:13:56+03:00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