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سلمى بنت حمزة
</w:t>
      </w:r>
    </w:p>
    <w:p>
      <w:pPr>
        <w:jc w:val="start"/>
        <w:bidi/>
      </w:pPr>
      <w:r>
        <w:rPr>
          <w:rFonts w:ascii="arial" w:hAnsi="arial" w:eastAsia="arial" w:cs="arial"/>
          <w:sz w:val="28"/>
          <w:szCs w:val="28"/>
          <w:b w:val="1"/>
          <w:bCs w:val="1"/>
          <w:rtl/>
        </w:rPr>
        <w:t xml:space="preserve">سلمى بنت حمزة
</w:t>
      </w:r>
    </w:p>
    <w:p>
      <w:pPr/>
      <w:r>
        <w:rPr/>
        <w:t xml:space="preserve">سلمى بنت حمزة بن عبد المطلب.</w:t>
      </w:r>
    </w:p>
    <w:p/>
    <w:p>
      <w:pPr/>
      <w:r>
        <w:rPr/>
        <w:t xml:space="preserve">روى حديثها تمام عن قتادة عنها- أن مولاها مات وترك ابنته، فورث النبي صلى الله عليه وسلم ابنته النصف، وورث يعلى النصف وهو ابن سلمى، كذا أخرجه أحمد في المسند، وكذا رواه جرير بن حازم، عن عبد الله بن شداد، قال: كانت بنت حمزة أعتقت غلاما على عهد النبي صلى الله عليه وسلم، فمات وترك ما لا فورث النبي صلى الله عليه وسلم بنت الميت النصف، وبنت حمزة النصف. وسيأتي لذلك ذكر في ترجمة سلمى بنت عميس قريبا.</w:t>
      </w:r>
    </w:p>
    <w:p>
      <w:pPr>
        <w:jc w:val="start"/>
        <w:bidi/>
      </w:pPr>
      <w:r>
        <w:rPr>
          <w:sz w:val="24"/>
          <w:szCs w:val="24"/>
          <w:b w:val="1"/>
          <w:bCs w:val="1"/>
          <w:rtl/>
        </w:rPr>
        <w:t xml:space="preserve">
الإصابة في تمييز الصحابة،(دار الكتب العلمية - بيروت،1995،ط 1،ج 8،ص 183)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2026-07-27T12:15:27+03:00</dcterms:created>
  <dcterms:modified xsi:type="dcterms:W3CDTF">2026-07-27T12:15:27+03:00</dcterms:modified>
</cp:coreProperties>
</file>

<file path=docProps/custom.xml><?xml version="1.0" encoding="utf-8"?>
<Properties xmlns="http://schemas.openxmlformats.org/officeDocument/2006/custom-properties" xmlns:vt="http://schemas.openxmlformats.org/officeDocument/2006/docPropsVTypes"/>
</file>