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خراسان
</w:t>
      </w:r>
    </w:p>
    <w:p>
      <w:pPr>
        <w:jc w:val="start"/>
        <w:bidi/>
      </w:pPr>
      <w:r>
        <w:rPr>
          <w:rFonts w:ascii="arial" w:hAnsi="arial" w:eastAsia="arial" w:cs="arial"/>
          <w:sz w:val="28"/>
          <w:szCs w:val="28"/>
          <w:b w:val="1"/>
          <w:bCs w:val="1"/>
          <w:rtl/>
        </w:rPr>
        <w:t xml:space="preserve">ابن خراسان
</w:t>
      </w:r>
    </w:p>
    <w:p>
      <w:pPr/>
      <w:r>
        <w:rPr/>
        <w:t xml:space="preserve">ابن خراسان  عبد الحق بن عبد العزيز بن خراسان: اول الامراء من بني خراسان، في تونس. ويرجح انهم من صنهاجة. قام بأمر تونس مشتركا مع أولى الشأن مناهلها سنة 450هـ. وكانت طاعتها للمعز بن باديس، فجعلها عبد الحق للناصر بن علناس، صاحب قلعة بني حماد. وتوفى المعز، فزحف ابنه تميم من ’’المهدية’’ لاخضاع عبد الحق. فامتنع هذا، فحاصره تميم اربعة اشهر. وانعقد الصلح بينهما على عودة عبد الحق إلى الطاعة. فاستمر في الامارة إلى ان توفى. </w:t>
      </w:r>
    </w:p>
    <w:p>
      <w:pPr>
        <w:jc w:val="start"/>
        <w:bidi/>
      </w:pPr>
      <w:r>
        <w:rPr>
          <w:sz w:val="24"/>
          <w:szCs w:val="24"/>
          <w:b w:val="1"/>
          <w:bCs w:val="1"/>
          <w:rtl/>
        </w:rPr>
        <w:t xml:space="preserve">
الأعلام،(دار العلم للملايين - بيروت،2002،ط 15،ج 3،ص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2026-07-27T13:27:22+03:00</dcterms:created>
  <dcterms:modified xsi:type="dcterms:W3CDTF">2026-07-27T13:27:22+03:00</dcterms:modified>
</cp:coreProperties>
</file>

<file path=docProps/custom.xml><?xml version="1.0" encoding="utf-8"?>
<Properties xmlns="http://schemas.openxmlformats.org/officeDocument/2006/custom-properties" xmlns:vt="http://schemas.openxmlformats.org/officeDocument/2006/docPropsVTypes"/>
</file>