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أصبغ
</w:t>
      </w:r>
    </w:p>
    <w:p>
      <w:pPr/>
      <w:r>
        <w:rPr/>
        <w:t xml:space="preserve">ابن أصبغ  عبد الجبار بن عبد الله بن أحمد بن اصبغ، أبو طالب: مؤرخ، من أهل قرطبة. مرواني النسب. له (عيون الامامة ونواظر السياسة) في التاريخ، رآه ابن بشكوال ونقل عنه. وكان مناهل المعرفة بالعربية والادب.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عبد الله بن أحمد، أبو طالب القرشي.
</w:t>
      </w:r>
    </w:p>
    <w:p>
      <w:pPr/>
      <w:r>
        <w:rPr/>
        <w:t xml:space="preserve">عبد الجبار بن عبد الله بن أحمد، أبو طالب القرشي. </w:t>
      </w:r>
    </w:p>
    <w:p/>
    <w:p>
      <w:pPr/>
      <w:r>
        <w:rPr/>
        <w:t xml:space="preserve">روى عن أبي عبد الله محمد بن فرج الفقيه وجماعة، أثنى عليه ابن بشكوال، وقال: أجاز لنا بمكة، وتوفي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2026-05-04T03:08:49+03:00</dcterms:created>
  <dcterms:modified xsi:type="dcterms:W3CDTF">2026-05-04T03:08:49+03:00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