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بن أبرهة
</w:t>
      </w:r>
    </w:p>
    <w:p>
      <w:pPr>
        <w:jc w:val="start"/>
        <w:bidi/>
      </w:pPr>
      <w:r>
        <w:rPr>
          <w:rFonts w:ascii="arial" w:hAnsi="arial" w:eastAsia="arial" w:cs="arial"/>
          <w:sz w:val="28"/>
          <w:szCs w:val="28"/>
          <w:b w:val="1"/>
          <w:bCs w:val="1"/>
          <w:rtl/>
        </w:rPr>
        <w:t xml:space="preserve">العبد بن أبرهة
</w:t>
      </w:r>
    </w:p>
    <w:p>
      <w:pPr/>
      <w:r>
        <w:rPr/>
        <w:t xml:space="preserve">العبد بن أبرهة  العبد بن ابرهة بن الصعب الحميري: من التبابعة ملوك حمير باليمن. غلب على ارض الحبشة وساق كبارها بالاغلال إلى مكة. وكان واسع السلطان. اصيب بالفالج وقعد عن الغزو بنفسه، فكان يرسل الجيوش، فدخل عليه الوهن في ملكه. عاش في الملك 60 عاما. </w:t>
      </w:r>
    </w:p>
    <w:p>
      <w:pPr>
        <w:jc w:val="start"/>
        <w:bidi/>
      </w:pPr>
      <w:r>
        <w:rPr>
          <w:sz w:val="24"/>
          <w:szCs w:val="24"/>
          <w:b w:val="1"/>
          <w:bCs w:val="1"/>
          <w:rtl/>
        </w:rPr>
        <w:t xml:space="preserve">
الأعلام،(دار العلم للملايين - بيروت،2002،ط 15،ج 3،ص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2026-05-04T02:16:04+03:00</dcterms:created>
  <dcterms:modified xsi:type="dcterms:W3CDTF">2026-05-04T02:16:04+03:00</dcterms:modified>
</cp:coreProperties>
</file>

<file path=docProps/custom.xml><?xml version="1.0" encoding="utf-8"?>
<Properties xmlns="http://schemas.openxmlformats.org/officeDocument/2006/custom-properties" xmlns:vt="http://schemas.openxmlformats.org/officeDocument/2006/docPropsVTypes"/>
</file>