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القمي
</w:t>
      </w:r>
    </w:p>
    <w:p>
      <w:pPr/>
      <w:r>
        <w:rPr/>
        <w:t xml:space="preserve">القمي  عباس بن محمد رضا القمي: باحث إمامي، من العلماء بالتراجم والتاريخ. مولده ووفاته بالنجف عاش مدة طويلة في طهران. من كتبه (هدية الأحباب في ذكر المعروفيهن بالكنى والألقاب والأنساب - ط) ثلاثة أجزاء، و (الفوائد الرضوية في أحوال علماء المذهب الجعفرية - ط) و (سفينة بحار الأنوار ومدينة الحكم والآثار - ط) في مجلدين، على نسق دوائر المعارف، في التاريخ والفقه، جعله فهرسا لكتاب (بحار الأنوار - ط) لمحمد بقر الأصفهاني المجلسي.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2026-05-04T00:56:41+03:00</dcterms:created>
  <dcterms:modified xsi:type="dcterms:W3CDTF">2026-05-04T00:56:41+03:00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