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الزهراء القشيري
</w:t>
      </w:r>
    </w:p>
    <w:p>
      <w:pPr>
        <w:jc w:val="start"/>
        <w:bidi/>
      </w:pPr>
      <w:r>
        <w:rPr>
          <w:rFonts w:ascii="arial" w:hAnsi="arial" w:eastAsia="arial" w:cs="arial"/>
          <w:sz w:val="28"/>
          <w:szCs w:val="28"/>
          <w:b w:val="1"/>
          <w:bCs w:val="1"/>
          <w:rtl/>
        </w:rPr>
        <w:t xml:space="preserve">أبو الزهراء القشيري
</w:t>
      </w:r>
    </w:p>
    <w:p>
      <w:pPr/>
      <w:r>
        <w:rPr/>
        <w:t xml:space="preserve">أبو الزهراء القشيري يأتي في القسم الثالث، ويمكن أن يكون من أهل هذا القسم، لأن في ترجمته أنه ممن أمره يزيد بن أبي سفيان في بعض فتوح الشام. وقد تقدم غير مرة أنهم لم يكونوا يؤمرون في الفتوح إلا الصحابة، وقد قرن في هذه القصة بدحية بن خليفة.</w:t>
      </w:r>
    </w:p>
    <w:p>
      <w:pPr>
        <w:jc w:val="start"/>
        <w:bidi/>
      </w:pPr>
      <w:r>
        <w:rPr>
          <w:sz w:val="24"/>
          <w:szCs w:val="24"/>
          <w:b w:val="1"/>
          <w:bCs w:val="1"/>
          <w:rtl/>
        </w:rPr>
        <w:t xml:space="preserve">
الإصابة في تمييز الصحابة،(دار الكتب العلمية - بيروت،1995،ط 1،ج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الزهراء القشيري
</w:t>
      </w:r>
    </w:p>
    <w:p>
      <w:pPr/>
      <w:r>
        <w:rPr/>
        <w:t xml:space="preserve">أبو الزهراء القشيري ذكره ابن عساكر في الكنى، فقال: هو ممن أدرك النبي صلى الله عليه وسلم، وشهد فتح دمشق، وولي صلح أهل الثنية وحوران من قبل يزيد بن أبي سفيان في خلافة عمر، ثم ساق من طريق سيف بن عمر في الفتوح، قال: وبعث يزيد بن أبي سفيان دحية بن خليفة الكلبي في خيل بعد فتح دمشق إلى تدمر، وأبا الزهراء إلى الثنية وحوران يصالحونها على دمشق، ووليا القيام على فتح ما بعثا إليه، وكان أخو أبي الزهراء قد أصيبت رجله بدمشق يوم فتح دمشق، فلما هاجى بنو قشير بني جعدة فخروا بذلك، فأجابهم نابغة بني جعدة فذكر الشعر، ثم قال سيف في قصة من شرب الخمر بدمشق وحدهم عمر: وقال أبو الزهراء القشيري في ذلك:</w:t>
      </w:r>
    </w:p>
    <w:p/>
    <w:p>
      <w:pPr>
        <w:jc w:val="center"/>
      </w:pPr>
      <w:r>
        <w:rPr>
          <w:color w:val="ff0000"/>
        </w:rPr>
        <w:t xml:space="preserve">صبري ولم أجزع وقد مات إخوتي</w:t>
      </w:r>
      <w:r>
        <w:rPr>
          <w:color w:val="ff0000"/>
        </w:rPr>
        <w:t xml:space="preserve">      </w:t>
      </w:r>
      <w:r>
        <w:rPr>
          <w:color w:val="ff0000"/>
        </w:rPr>
        <w:t xml:space="preserve">ولست على الصهباء يوما بصابر</w:t>
      </w:r>
    </w:p>
    <w:p/>
    <w:p>
      <w:pPr>
        <w:jc w:val="center"/>
      </w:pPr>
      <w:r>
        <w:rPr>
          <w:color w:val="ff0000"/>
        </w:rPr>
        <w:t xml:space="preserve">رماها أمير المؤمنين بحتفها</w:t>
      </w:r>
      <w:r>
        <w:rPr>
          <w:color w:val="ff0000"/>
        </w:rPr>
        <w:t xml:space="preserve">      </w:t>
      </w:r>
      <w:r>
        <w:rPr>
          <w:color w:val="ff0000"/>
        </w:rPr>
        <w:t xml:space="preserve">فخلانها يبكون حول المعاصر</w:t>
      </w:r>
    </w:p>
    <w:p/>
    <w:p>
      <w:pPr>
        <w:jc w:val="start"/>
        <w:bidi/>
      </w:pPr>
      <w:r>
        <w:rPr>
          <w:sz w:val="24"/>
          <w:szCs w:val="24"/>
          <w:b w:val="1"/>
          <w:bCs w:val="1"/>
          <w:rtl/>
        </w:rPr>
        <w:t xml:space="preserve">
الإصابة في تمييز الصحابة،(دار الكتب العلمية - بيروت،1995،ط 1،ج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2026-05-02T18:55:56+03:00</dcterms:created>
  <dcterms:modified xsi:type="dcterms:W3CDTF">2026-05-02T18:55:56+03:00</dcterms:modified>
</cp:coreProperties>
</file>

<file path=docProps/custom.xml><?xml version="1.0" encoding="utf-8"?>
<Properties xmlns="http://schemas.openxmlformats.org/officeDocument/2006/custom-properties" xmlns:vt="http://schemas.openxmlformats.org/officeDocument/2006/docPropsVTypes"/>
</file>