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الرمحين
</w:t>
      </w:r>
    </w:p>
    <w:p>
      <w:pPr>
        <w:jc w:val="start"/>
        <w:bidi/>
      </w:pPr>
      <w:r>
        <w:rPr>
          <w:rFonts w:ascii="arial" w:hAnsi="arial" w:eastAsia="arial" w:cs="arial"/>
          <w:sz w:val="28"/>
          <w:szCs w:val="28"/>
          <w:b w:val="1"/>
          <w:bCs w:val="1"/>
          <w:rtl/>
        </w:rPr>
        <w:t xml:space="preserve">ذو الرمحين
</w:t>
      </w:r>
    </w:p>
    <w:p>
      <w:pPr/>
      <w:r>
        <w:rPr/>
        <w:t xml:space="preserve">ذو الرمحين  عامر بن وهب بن مجاشع بن عامر بن زيد، من بني محارب، من قيس عيلان: فارس جاهلي كان سيد قومه (بني محارب) واشتهر بغارة له علىبني باهلة، ظفر فيها واسر جمعا عظيما وكوى من اطلق منهم على الياتهم، فسمى ذلك اليوم ’’يوم كية العجب’’ قال ابن حزم: وبباهلة تغضب من ذلك اذا ذكر لها. </w:t>
      </w:r>
    </w:p>
    <w:p>
      <w:pPr>
        <w:jc w:val="start"/>
        <w:bidi/>
      </w:pPr>
      <w:r>
        <w:rPr>
          <w:sz w:val="24"/>
          <w:szCs w:val="24"/>
          <w:b w:val="1"/>
          <w:bCs w:val="1"/>
          <w:rtl/>
        </w:rPr>
        <w:t xml:space="preserve">
الأعلام،(دار العلم للملايين - بيروت،2002،ط 15،ج 3،ص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2026-05-03T22:47:54+03:00</dcterms:created>
  <dcterms:modified xsi:type="dcterms:W3CDTF">2026-05-03T22:47:54+03:00</dcterms:modified>
</cp:coreProperties>
</file>

<file path=docProps/custom.xml><?xml version="1.0" encoding="utf-8"?>
<Properties xmlns="http://schemas.openxmlformats.org/officeDocument/2006/custom-properties" xmlns:vt="http://schemas.openxmlformats.org/officeDocument/2006/docPropsVTypes"/>
</file>