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الغضبان
</w:t>
      </w:r>
    </w:p>
    <w:p>
      <w:pPr>
        <w:jc w:val="start"/>
        <w:bidi/>
      </w:pPr>
      <w:r>
        <w:rPr>
          <w:rFonts w:ascii="arial" w:hAnsi="arial" w:eastAsia="arial" w:cs="arial"/>
          <w:sz w:val="28"/>
          <w:szCs w:val="28"/>
          <w:b w:val="1"/>
          <w:bCs w:val="1"/>
          <w:rtl/>
        </w:rPr>
        <w:t xml:space="preserve">الغضبان
</w:t>
      </w:r>
    </w:p>
    <w:p>
      <w:pPr/>
      <w:r>
        <w:rPr/>
        <w:t xml:space="preserve">الغضبان  عادل بن حكمت الغضبان: متأدب له نظم أكثره في المناسبات. حلبي الأصل. كان أبوه ضابطا في مرسين التابعة يومئذ لولاية حلب، فولد بها ونشأ بحلب وسافر في صباه إلى القاهرة فتعلم بعهد الآباء اليسوعيين. وعمل في مطبعة دار المعارف، وتولى تحرير مجلتها (الكتاب) سنة (1945 - 53) وسمي عضوا في المجلس الأعلى للفنون والآداب بمصر. له مؤلفات منها (أحمس الأول - ط) مسريحة منظومة، و (ليلى العفيفة - ط) قصة، و (نجيب الحداد - ط) دراسة، و (من وحي الاسكندرية - ط) نظم، و (قيثارة العمر - خ) نظم. وأصيب بمرض القلب وتوفي بالقاهرة. </w:t>
      </w:r>
    </w:p>
    <w:p>
      <w:pPr>
        <w:jc w:val="start"/>
        <w:bidi/>
      </w:pPr>
      <w:r>
        <w:rPr>
          <w:sz w:val="24"/>
          <w:szCs w:val="24"/>
          <w:b w:val="1"/>
          <w:bCs w:val="1"/>
          <w:rtl/>
        </w:rPr>
        <w:t xml:space="preserve">
الأعلام،(دار العلم للملايين - بيروت،2002،ط 15،ج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2026-05-03T19:33:49+03:00</dcterms:created>
  <dcterms:modified xsi:type="dcterms:W3CDTF">2026-05-03T19:33:49+03:00</dcterms:modified>
</cp:coreProperties>
</file>

<file path=docProps/custom.xml><?xml version="1.0" encoding="utf-8"?>
<Properties xmlns="http://schemas.openxmlformats.org/officeDocument/2006/custom-properties" xmlns:vt="http://schemas.openxmlformats.org/officeDocument/2006/docPropsVTypes"/>
</file>