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ضرار بن عمرو
</w:t>
      </w:r>
    </w:p>
    <w:p>
      <w:pPr>
        <w:jc w:val="start"/>
        <w:bidi/>
      </w:pPr>
      <w:r>
        <w:rPr>
          <w:rFonts w:ascii="arial" w:hAnsi="arial" w:eastAsia="arial" w:cs="arial"/>
          <w:sz w:val="28"/>
          <w:szCs w:val="28"/>
          <w:b w:val="1"/>
          <w:bCs w:val="1"/>
          <w:rtl/>
        </w:rPr>
        <w:t xml:space="preserve">ضرار بن عمرو
</w:t>
      </w:r>
    </w:p>
    <w:p>
      <w:pPr/>
      <w:r>
        <w:rPr/>
        <w:t xml:space="preserve">ضرار بن عمرو  ضرار بن عمرو الغطفاني: قاض من كبار المعتزلة، طمع برياستهم في بلده، فلم يدركها. فخالفهم، فكفروه وطردوه. وصنف نحو ثلاثين كتابا، بعضها في الرد عليهم وعلى الخوارج، وفيها ما هو مقالات خبيثة. وشهد عليه الإمام أحمد بن حنبل عند القاضي سعيد بن عبد الرحمن الجمحي فأفتى بضرب عنقه، فهرب، وقيل: إن يحيى بن خالد البرمكي أخفاه. قال الجشمي: ومن عده من المعتزلة فقد أخطأ، لأنا نتبرأ منه فهو من المجبرة. </w:t>
      </w:r>
    </w:p>
    <w:p>
      <w:pPr>
        <w:jc w:val="start"/>
        <w:bidi/>
      </w:pPr>
      <w:r>
        <w:rPr>
          <w:sz w:val="24"/>
          <w:szCs w:val="24"/>
          <w:b w:val="1"/>
          <w:bCs w:val="1"/>
          <w:rtl/>
        </w:rPr>
        <w:t xml:space="preserve">
الأعلام،(دار العلم للملايين - بيروت،2002،ط 15،ج 3،ص 215)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2026-05-05T13:34:25+03:00</dcterms:created>
  <dcterms:modified xsi:type="dcterms:W3CDTF">2026-05-05T13:34:25+03:00</dcterms:modified>
</cp:coreProperties>
</file>

<file path=docProps/custom.xml><?xml version="1.0" encoding="utf-8"?>
<Properties xmlns="http://schemas.openxmlformats.org/officeDocument/2006/custom-properties" xmlns:vt="http://schemas.openxmlformats.org/officeDocument/2006/docPropsVTypes"/>
</file>