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المدلجي
</w:t>
      </w:r>
    </w:p>
    <w:p>
      <w:pPr>
        <w:jc w:val="start"/>
        <w:bidi/>
      </w:pPr>
      <w:r>
        <w:rPr>
          <w:rFonts w:ascii="arial" w:hAnsi="arial" w:eastAsia="arial" w:cs="arial"/>
          <w:sz w:val="28"/>
          <w:szCs w:val="28"/>
          <w:b w:val="1"/>
          <w:bCs w:val="1"/>
          <w:rtl/>
        </w:rPr>
        <w:t xml:space="preserve">قتادة المدلجي
</w:t>
      </w:r>
    </w:p>
    <w:p>
      <w:pPr/>
      <w:r>
        <w:rPr/>
        <w:t xml:space="preserve">قتادة المدلجي له إدراك</w:t>
      </w:r>
    </w:p>
    <w:p/>
    <w:p>
      <w:pPr/>
      <w:r>
        <w:rPr/>
        <w:t xml:space="preserve">قال مالك في «الموطأ»، عن يحيى بن سعيد، عن عمرو بن شعيب: إن رجلا من بني مدلج يقال له قتادة حذف ابنه بالسيف فأصيب ساقه، فنزا دمه فمات، فقدم سراقة بن جعشم على عمر فأخبره، فقال: اعدد لي عشرين ومائة ناقة على ماء قديد. فلما قدم عمر أخذ منها مائة، فأعطاها لأخي المقتول، وقال: قال رسول الله صلى الله عليه وآله وسلم: «ليس للقاتل شيء».</w:t>
      </w:r>
    </w:p>
    <w:p/>
    <w:p>
      <w:pPr/>
      <w:r>
        <w:rPr/>
        <w:t xml:space="preserve">وروى قصته عبد الرزاق، من طريق سليمان بن يسار نحوه، ولم يسمه، قال: إن رجلا من بني مدلج، وقال: فورث أخاه لأبيه وأمه، ولم يورث أباه من ديته شيئا.</w:t>
      </w:r>
    </w:p>
    <w:p/>
    <w:p>
      <w:pPr/>
      <w:r>
        <w:rPr/>
        <w:t xml:space="preserve">القاف بعدها الحاء</w:t>
      </w:r>
    </w:p>
    <w:p>
      <w:pPr>
        <w:jc w:val="start"/>
        <w:bidi/>
      </w:pPr>
      <w:r>
        <w:rPr>
          <w:sz w:val="24"/>
          <w:szCs w:val="24"/>
          <w:b w:val="1"/>
          <w:bCs w:val="1"/>
          <w:rtl/>
        </w:rPr>
        <w:t xml:space="preserve">
الإصابة في تمييز الصحابة،(دار الكتب العلمية - بيروت،1995،ط 1،ج 5،ص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المدلجي
</w:t>
      </w:r>
    </w:p>
    <w:p>
      <w:pPr/>
      <w:r>
        <w:rPr/>
        <w:t xml:space="preserve">أبو قتادة المدلجي له إدراك وقصة مع عمر. ذكر ابن أبي شيبة من طريق عمرو بن شعيب أن أبا قتادة قتل ابنه في عهد عمر. تقدم في قتادة من وجه آخر.</w:t>
      </w:r>
    </w:p>
    <w:p>
      <w:pPr>
        <w:jc w:val="start"/>
        <w:bidi/>
      </w:pPr>
      <w:r>
        <w:rPr>
          <w:sz w:val="24"/>
          <w:szCs w:val="24"/>
          <w:b w:val="1"/>
          <w:bCs w:val="1"/>
          <w:rtl/>
        </w:rPr>
        <w:t xml:space="preserve">
الإصابة في تمييز الصحابة،(دار الكتب العلمية - بيروت،1995،ط 1،ج 7،ص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2026-05-17T01:47:18+03:00</dcterms:created>
  <dcterms:modified xsi:type="dcterms:W3CDTF">2026-05-17T01:47:18+03:00</dcterms:modified>
</cp:coreProperties>
</file>

<file path=docProps/custom.xml><?xml version="1.0" encoding="utf-8"?>
<Properties xmlns="http://schemas.openxmlformats.org/officeDocument/2006/custom-properties" xmlns:vt="http://schemas.openxmlformats.org/officeDocument/2006/docPropsVTypes"/>
</file>