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
</w:t>
      </w:r>
    </w:p>
    <w:p>
      <w:pPr/>
      <w:r>
        <w:rPr/>
        <w:t xml:space="preserve">عمارة صاحب النبي صلى الله عليه وآله وسلم.</w:t>
      </w:r>
    </w:p>
    <w:p/>
    <w:p>
      <w:pPr/>
      <w:r>
        <w:rPr/>
        <w:t xml:space="preserve">قال: لقد رأيت النبي صلى الله عليه وآله وسلم وما يريد أن يشير بإصبعه.</w:t>
      </w:r>
    </w:p>
    <w:p/>
    <w:p>
      <w:pPr/>
      <w:r>
        <w:rPr/>
        <w:t xml:space="preserve">فرق ابن شاهين بين هذا وبين عمارة بن رويبة، فوهم، فإنه هو. والحديث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2026-07-27T09:57:22+03:00</dcterms:created>
  <dcterms:modified xsi:type="dcterms:W3CDTF">2026-07-27T09:57:22+03:00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