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ذي الجرة الحميري
</w:t>
      </w:r>
    </w:p>
    <w:p>
      <w:pPr>
        <w:jc w:val="start"/>
        <w:bidi/>
      </w:pPr>
      <w:r>
        <w:rPr>
          <w:rFonts w:ascii="arial" w:hAnsi="arial" w:eastAsia="arial" w:cs="arial"/>
          <w:sz w:val="28"/>
          <w:szCs w:val="28"/>
          <w:b w:val="1"/>
          <w:bCs w:val="1"/>
          <w:rtl/>
        </w:rPr>
        <w:t xml:space="preserve">عبد الرحمن بن ذي الجرة الحميري
</w:t>
      </w:r>
    </w:p>
    <w:p>
      <w:pPr/>
      <w:r>
        <w:rPr/>
        <w:t xml:space="preserve">عبد الرحمن بن ذي الجرة الحميري ذكر المدائني أنه وفد على أبي بكر الصديق، فسماه عبد الرحمن. وقد تقدم في حرف الباء الموحدة في باب، وهو اسمه الأول، وذكرت له قصة في فتح تستر مع أبي موسى الأشعري نقلته من خط الخطيب في كتاب «المؤتلف».</w:t>
      </w:r>
    </w:p>
    <w:p>
      <w:pPr>
        <w:jc w:val="start"/>
        <w:bidi/>
      </w:pPr>
      <w:r>
        <w:rPr>
          <w:sz w:val="24"/>
          <w:szCs w:val="24"/>
          <w:b w:val="1"/>
          <w:bCs w:val="1"/>
          <w:rtl/>
        </w:rPr>
        <w:t xml:space="preserve">
الإصابة في تمييز الصحابة،(دار الكتب العلمية - بيروت،1995،ط 1،ج 5،ص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2026-07-27T12:24:07+03:00</dcterms:created>
  <dcterms:modified xsi:type="dcterms:W3CDTF">2026-07-27T12:24:07+03:00</dcterms:modified>
</cp:coreProperties>
</file>

<file path=docProps/custom.xml><?xml version="1.0" encoding="utf-8"?>
<Properties xmlns="http://schemas.openxmlformats.org/officeDocument/2006/custom-properties" xmlns:vt="http://schemas.openxmlformats.org/officeDocument/2006/docPropsVTypes"/>
</file>