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السعدي
</w:t>
      </w:r>
    </w:p>
    <w:p>
      <w:pPr>
        <w:jc w:val="start"/>
        <w:bidi/>
      </w:pPr>
      <w:r>
        <w:rPr>
          <w:rFonts w:ascii="arial" w:hAnsi="arial" w:eastAsia="arial" w:cs="arial"/>
          <w:sz w:val="28"/>
          <w:szCs w:val="28"/>
          <w:b w:val="1"/>
          <w:bCs w:val="1"/>
          <w:rtl/>
        </w:rPr>
        <w:t xml:space="preserve">السعدي
</w:t>
      </w:r>
    </w:p>
    <w:p>
      <w:pPr/>
      <w:r>
        <w:rPr/>
        <w:t xml:space="preserve">السعدي  صالح بن يحيى بن يونس الموصلي السعدي: باحث أديب له اشتغال بالحديث، من آل محضر باشي بالموصل. كان من تلاميذ الأوسي الكبير. وتكلم الفارسية والتركية مع علمه بآداب العربية. وكان عجبا في كتابة الخط الدقيق وله ألواح رائعة في مكتبة الأوقاف (المجموعة 5734) وله (ديوان شعر - خ) عند آل السعدي في الموصل. وعين كاتبا للانشاء عند والي الموصل (محمد أمين باشا) وقتل ذبحا في مؤامرة كان المقصود بها الوالي. ومن كتبه (حاشية على شرح العضدية لعصام الدين - خ) في علم الوضع، و (عقد الدرر في مصطلح أهل الأثر - خ) كلاهما في مخطوطات الانكرلي. </w:t>
      </w:r>
    </w:p>
    <w:p>
      <w:pPr>
        <w:jc w:val="start"/>
        <w:bidi/>
      </w:pPr>
      <w:r>
        <w:rPr>
          <w:sz w:val="24"/>
          <w:szCs w:val="24"/>
          <w:b w:val="1"/>
          <w:bCs w:val="1"/>
          <w:rtl/>
        </w:rPr>
        <w:t xml:space="preserve">
الأعلام،(دار العلم للملايين - بيروت،2002،ط 15،ج 3،ص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2026-07-27T09:04:00+03:00</dcterms:created>
  <dcterms:modified xsi:type="dcterms:W3CDTF">2026-07-27T09:04:00+03:00</dcterms:modified>
</cp:coreProperties>
</file>

<file path=docProps/custom.xml><?xml version="1.0" encoding="utf-8"?>
<Properties xmlns="http://schemas.openxmlformats.org/officeDocument/2006/custom-properties" xmlns:vt="http://schemas.openxmlformats.org/officeDocument/2006/docPropsVTypes"/>
</file>