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السويسي
</w:t>
      </w:r>
    </w:p>
    <w:p>
      <w:pPr>
        <w:jc w:val="start"/>
        <w:bidi/>
      </w:pPr>
      <w:r>
        <w:rPr>
          <w:rFonts w:ascii="arial" w:hAnsi="arial" w:eastAsia="arial" w:cs="arial"/>
          <w:sz w:val="28"/>
          <w:szCs w:val="28"/>
          <w:b w:val="1"/>
          <w:bCs w:val="1"/>
          <w:rtl/>
        </w:rPr>
        <w:t xml:space="preserve">السويسي
</w:t>
      </w:r>
    </w:p>
    <w:p>
      <w:pPr/>
      <w:r>
        <w:rPr/>
        <w:t xml:space="preserve">السويسي  صالح السويسي القيرواني : أديب، له شعر. مولده ومنشأه ووفاته بالقيروان. انتقل إلى تونس، وقرأ فيها بجامع الزيتونة. وكان ظريفا حاضر النكتة. يعد في أوائل من طرقوا الموضوعات الاجتماعية والوطنية من أدباء تونس. له كتب، طبع منها (منجم التبر في النظم والنثر) و (دليل القيروان) و (مجامع اليتامى) و (زفرات الضمير) و (النثر البديع) و (الأناشيد المدرسية) وبقي مخطوطا (ديوان شعره) و (رسائل الحياة). وهو واضع أول (رواية) في الأدب التونسي سماها (الهيفاء) و (سراج الليل) نشرت في مجلة (خير الدين) بتونس. </w:t>
      </w:r>
    </w:p>
    <w:p>
      <w:pPr>
        <w:jc w:val="start"/>
        <w:bidi/>
      </w:pPr>
      <w:r>
        <w:rPr>
          <w:sz w:val="24"/>
          <w:szCs w:val="24"/>
          <w:b w:val="1"/>
          <w:bCs w:val="1"/>
          <w:rtl/>
        </w:rPr>
        <w:t xml:space="preserve">
الأعلام،(دار العلم للملايين - بيروت،2002،ط 15،ج 3،ص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2026-05-01T17:02:51+03:00</dcterms:created>
  <dcterms:modified xsi:type="dcterms:W3CDTF">2026-05-01T17:02:51+03:00</dcterms:modified>
</cp:coreProperties>
</file>

<file path=docProps/custom.xml><?xml version="1.0" encoding="utf-8"?>
<Properties xmlns="http://schemas.openxmlformats.org/officeDocument/2006/custom-properties" xmlns:vt="http://schemas.openxmlformats.org/officeDocument/2006/docPropsVTypes"/>
</file>