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صالح بن درويش بن زيني من بني تميم: شاعر مؤرخ نجدي الاصل. ولد في الكاظمية - قرب بغداد - ونشأ في النجف واتصل بالوزير (داود) والى بغداد، فنقله اليها، وجعله في جملة كتاب الديوان، فكان من شعرائه. وتوفي في بغداد، عن نحو سبيعن عاما. في شعره جزالة، وقد جمع في (ديوان - ط) وله كتب، منها (شرك العقول وغريب النقول) مجلدان، رتبه على السنين مبتدءا من سنة 1200 هـ ، وختمه سنة 1240 هـ ، ذكر فيه ايام الوزير داود باشا، وما جرى له من حروب. وله (وشاح الرود) في تراجم شعراء الوزير داود.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2026-05-03T13:55:39+03:00</dcterms:created>
  <dcterms:modified xsi:type="dcterms:W3CDTF">2026-05-03T13:55:39+03:00</dcterms:modified>
</cp:coreProperties>
</file>

<file path=docProps/custom.xml><?xml version="1.0" encoding="utf-8"?>
<Properties xmlns="http://schemas.openxmlformats.org/officeDocument/2006/custom-properties" xmlns:vt="http://schemas.openxmlformats.org/officeDocument/2006/docPropsVTypes"/>
</file>