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صاعد بن يحيى
</w:t>
      </w:r>
    </w:p>
    <w:p>
      <w:pPr>
        <w:jc w:val="start"/>
        <w:bidi/>
      </w:pPr>
      <w:r>
        <w:rPr>
          <w:rFonts w:ascii="arial" w:hAnsi="arial" w:eastAsia="arial" w:cs="arial"/>
          <w:sz w:val="28"/>
          <w:szCs w:val="28"/>
          <w:b w:val="1"/>
          <w:bCs w:val="1"/>
          <w:rtl/>
        </w:rPr>
        <w:t xml:space="preserve">صاعد بن يحيى
</w:t>
      </w:r>
    </w:p>
    <w:p>
      <w:pPr/>
      <w:r>
        <w:rPr/>
        <w:t xml:space="preserve">صاعد بن يحيى  صاعد بن يحيى بن هبة الله بن توما أبو الفرج:طبيب مسيحي من أهل بغداد تقدم في ايام الناصر إلى ان كان بمنزلة الوزراء واستوثقه على حفظ اموال خواصه فكان يودعها عنده ويرسله في الامور الخفية إلى وزرائه، قتله جنديان غيلة ببغداد. </w:t>
      </w:r>
    </w:p>
    <w:p>
      <w:pPr>
        <w:jc w:val="start"/>
        <w:bidi/>
      </w:pPr>
      <w:r>
        <w:rPr>
          <w:sz w:val="24"/>
          <w:szCs w:val="24"/>
          <w:b w:val="1"/>
          <w:bCs w:val="1"/>
          <w:rtl/>
        </w:rPr>
        <w:t xml:space="preserve">
الأعلام،(دار العلم للملايين - بيروت،2002،ط 15،ج 3،ص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2026-05-01T16:00:15+03:00</dcterms:created>
  <dcterms:modified xsi:type="dcterms:W3CDTF">2026-05-01T16:00:15+03:00</dcterms:modified>
</cp:coreProperties>
</file>

<file path=docProps/custom.xml><?xml version="1.0" encoding="utf-8"?>
<Properties xmlns="http://schemas.openxmlformats.org/officeDocument/2006/custom-properties" xmlns:vt="http://schemas.openxmlformats.org/officeDocument/2006/docPropsVTypes"/>
</file>