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الناصر
</w:t>
      </w:r>
    </w:p>
    <w:p>
      <w:pPr>
        <w:jc w:val="start"/>
        <w:bidi/>
      </w:pPr>
      <w:r>
        <w:rPr>
          <w:rFonts w:ascii="arial" w:hAnsi="arial" w:eastAsia="arial" w:cs="arial"/>
          <w:sz w:val="28"/>
          <w:szCs w:val="28"/>
          <w:b w:val="1"/>
          <w:bCs w:val="1"/>
          <w:rtl/>
        </w:rPr>
        <w:t xml:space="preserve">الملك الناصر
</w:t>
      </w:r>
    </w:p>
    <w:p>
      <w:pPr/>
      <w:r>
        <w:rPr/>
        <w:t xml:space="preserve">الملك الناصر  أحمد بن إسماعيل بن العباس الرسولي، الملك الناصر ابن الأشرف ابن الأفضل: من ملوك الدولة الرسولية في اليمن. تولاها بعد وفاة أبيه سنة 803 هـ ، ولم تحمد سيرته، قال السخاوي:’’ كان من شرار بني رسول’’ خرج عليه أخوه حسين، وتلقب بالملك الظافر، فاستولى على زبيد سنة 822 هـ ، وبايعه خلق كثير، فجهز عليه الناصر وحاصره وقاتله ثم قبض عليه وسمل عينيه. واستمر الناصر إلى أن توفي متأثرا من روعة أصابته بسقوط صاعقة على حصنه خارج مدينة زبيد، وحمل إلى تعز، فدفن فيها. </w:t>
      </w:r>
    </w:p>
    <w:p>
      <w:pPr>
        <w:jc w:val="start"/>
        <w:bidi/>
      </w:pPr>
      <w:r>
        <w:rPr>
          <w:sz w:val="24"/>
          <w:szCs w:val="24"/>
          <w:b w:val="1"/>
          <w:bCs w:val="1"/>
          <w:rtl/>
        </w:rPr>
        <w:t xml:space="preserve">
الأعلام،(دار العلم للملايين - بيروت،2002،ط 15،ج 1،ص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2026-07-01T23:20:29+03:00</dcterms:created>
  <dcterms:modified xsi:type="dcterms:W3CDTF">2026-07-01T23:20:29+03:00</dcterms:modified>
</cp:coreProperties>
</file>

<file path=docProps/custom.xml><?xml version="1.0" encoding="utf-8"?>
<Properties xmlns="http://schemas.openxmlformats.org/officeDocument/2006/custom-properties" xmlns:vt="http://schemas.openxmlformats.org/officeDocument/2006/docPropsVTypes"/>
</file>