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أريقط
</w:t>
      </w:r>
    </w:p>
    <w:p>
      <w:pPr>
        <w:jc w:val="start"/>
        <w:bidi/>
      </w:pPr>
      <w:r>
        <w:rPr>
          <w:rFonts w:ascii="arial" w:hAnsi="arial" w:eastAsia="arial" w:cs="arial"/>
          <w:sz w:val="28"/>
          <w:szCs w:val="28"/>
          <w:b w:val="1"/>
          <w:bCs w:val="1"/>
          <w:rtl/>
        </w:rPr>
        <w:t xml:space="preserve">عبد الله بن أريقط
</w:t>
      </w:r>
    </w:p>
    <w:p>
      <w:pPr/>
      <w:r>
        <w:rPr/>
        <w:t xml:space="preserve">عبد الله بن أريقط ويقال: أريقد، بالدال بدل الطاء المهملتين، ويقال: بقاف بصيغة التصغير، الليثي، ثم الديلي.</w:t>
      </w:r>
    </w:p>
    <w:p/>
    <w:p>
      <w:pPr/>
      <w:r>
        <w:rPr/>
        <w:t xml:space="preserve">دليل النبي صلى الله عليه وسلم وأبي بكر لما هاجرا إلى المدينة، ثبت ذكره في الصحيح، وأنه كان على دين قومه. وسيأتي له ذكر في ترجمة عبد الله بن أبي بكر الصديق قريبا يتعلق بالهجرة أيضا، ولم أر من ذكره في الصحابة إلا الذهبي في التجريد، وقد جزم عبد الغني المقدسي في السيرة له بأنه لم يعرف له إسلاما، وتبعه النووي في تهذيب الأسماء.</w:t>
      </w:r>
    </w:p>
    <w:p>
      <w:pPr>
        <w:jc w:val="start"/>
        <w:bidi/>
      </w:pPr>
      <w:r>
        <w:rPr>
          <w:sz w:val="24"/>
          <w:szCs w:val="24"/>
          <w:b w:val="1"/>
          <w:bCs w:val="1"/>
          <w:rtl/>
        </w:rPr>
        <w:t xml:space="preserve">
الإصابة في تمييز الصحابة،(دار الكتب العلمية - بيروت،1995،ط 1،ج 4،ص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2026-05-29T20:57:34+03:00</dcterms:created>
  <dcterms:modified xsi:type="dcterms:W3CDTF">2026-05-29T20:57:34+03:00</dcterms:modified>
</cp:coreProperties>
</file>

<file path=docProps/custom.xml><?xml version="1.0" encoding="utf-8"?>
<Properties xmlns="http://schemas.openxmlformats.org/officeDocument/2006/custom-properties" xmlns:vt="http://schemas.openxmlformats.org/officeDocument/2006/docPropsVTypes"/>
</file>