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منعة
</w:t>
      </w:r>
    </w:p>
    <w:p>
      <w:pPr>
        <w:jc w:val="start"/>
        <w:bidi/>
      </w:pPr>
      <w:r>
        <w:rPr>
          <w:rFonts w:ascii="arial" w:hAnsi="arial" w:eastAsia="arial" w:cs="arial"/>
          <w:sz w:val="28"/>
          <w:szCs w:val="28"/>
          <w:b w:val="1"/>
          <w:bCs w:val="1"/>
          <w:rtl/>
        </w:rPr>
        <w:t xml:space="preserve">ابن منعة
</w:t>
      </w:r>
    </w:p>
    <w:p>
      <w:pPr/>
      <w:r>
        <w:rPr/>
        <w:t xml:space="preserve">ابن منعة  شجاع بن منعة الموصلي: نقاش ما زالت صناعته في بعض المتاحف باقية إلى الآن. منها إبريق من النحاس الأصفر، مكفت بالفضة كتب فوق القسم السفلي من رقبته ’’نقش شجاع بن منعة الموصلي في شهر الله المبارك رجب سنة تسع وعشرين وستماية بالموصل’’ محفوظ في المتحف البريطاني بلندن. </w:t>
      </w:r>
    </w:p>
    <w:p>
      <w:pPr>
        <w:jc w:val="start"/>
        <w:bidi/>
      </w:pPr>
      <w:r>
        <w:rPr>
          <w:sz w:val="24"/>
          <w:szCs w:val="24"/>
          <w:b w:val="1"/>
          <w:bCs w:val="1"/>
          <w:rtl/>
        </w:rPr>
        <w:t xml:space="preserve">
الأعلام،(دار العلم للملايين - بيروت،2002،ط 15،ج 3،ص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2026-07-26T10:58:41+03:00</dcterms:created>
  <dcterms:modified xsi:type="dcterms:W3CDTF">2026-07-26T10:58:41+03:00</dcterms:modified>
</cp:coreProperties>
</file>

<file path=docProps/custom.xml><?xml version="1.0" encoding="utf-8"?>
<Properties xmlns="http://schemas.openxmlformats.org/officeDocument/2006/custom-properties" xmlns:vt="http://schemas.openxmlformats.org/officeDocument/2006/docPropsVTypes"/>
</file>