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سنان بن كعب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سنان بن كعب
</w:t>
      </w:r>
    </w:p>
    <w:p>
      <w:pPr/>
      <w:r>
        <w:rPr/>
        <w:t xml:space="preserve">سنان بن كعب بن مالك بن الصحبان بن الحارث بن عمرو بن عدي الأزدي.</w:t>
      </w:r>
    </w:p>
    <w:p/>
    <w:p>
      <w:pPr/>
      <w:r>
        <w:rPr/>
        <w:t xml:space="preserve">له إدراك، وكان ولده عبد الله من الفرسان الشجعان، وكان مع المهلب، فكان المهلب يقول: ما وقعت في عظيمة قط فرأيت عبد الله بن سنان إلا أفرخ روعي. ذكره ابن الكلبي.</w:t>
      </w:r>
    </w:p>
    <w:p/>
    <w:p>
      <w:pPr/>
      <w:r>
        <w:rPr/>
        <w:t xml:space="preserve">السين بعدها الهاء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218)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2026-05-23T20:46:37+03:00</dcterms:created>
  <dcterms:modified xsi:type="dcterms:W3CDTF">2026-05-23T20:46:37+03:00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