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زنكل
</w:t>
      </w:r>
    </w:p>
    <w:p>
      <w:pPr/>
      <w:r>
        <w:rPr/>
        <w:t xml:space="preserve">زنكل غير منسوب.</w:t>
      </w:r>
    </w:p>
    <w:p/>
    <w:p>
      <w:pPr/>
      <w:r>
        <w:rPr/>
        <w:t xml:space="preserve">ذكره أبو محمد بن حزم في «الوحدان» من «مسند بقي بن مخلد»، واستدركه الذهبي في التجريد. وأنا أخشى أن يكون تصحيفا من رجل، فيكون مبهما.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2026-07-27T12:37:59+03:00</dcterms:created>
  <dcterms:modified xsi:type="dcterms:W3CDTF">2026-07-27T12:37:59+03:00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