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السجاعي
</w:t>
      </w:r>
    </w:p>
    <w:p>
      <w:pPr>
        <w:jc w:val="start"/>
        <w:bidi/>
      </w:pPr>
      <w:r>
        <w:rPr>
          <w:rFonts w:ascii="arial" w:hAnsi="arial" w:eastAsia="arial" w:cs="arial"/>
          <w:sz w:val="28"/>
          <w:szCs w:val="28"/>
          <w:b w:val="1"/>
          <w:bCs w:val="1"/>
          <w:rtl/>
        </w:rPr>
        <w:t xml:space="preserve">السجاعي
</w:t>
      </w:r>
    </w:p>
    <w:p>
      <w:pPr/>
      <w:r>
        <w:rPr/>
        <w:t xml:space="preserve">السجاعي  أحمد بن أحمد بن محمد السجاعي البدراوي الأزهري: فقيه شافعي مصري. نسبته إلى ’’السجاعية’’ من غربية مصر. له تصانيف كثيرة كلها شروح وحواش ورسائل ومتون منظومة في علوم الدين والأدب والتصوف والمنطق والفلك. منها (الدرر في إعراب أوائل السور - خ) رسالة، و (شرح معلقة امرئ القيس - خ) و (شرح لامية السموأل - ط) و (حاشية على شرح القطر لابن هشام - ط) في النحو، و (حاشية على شرح ابن عقيل للألفية في النحو - ط) و (منظومة في الاستعارات - ط). ولأحد تلاميذه رسالة سماها (فهرس مؤلفات السجاعي - خ). </w:t>
      </w:r>
    </w:p>
    <w:p>
      <w:pPr>
        <w:jc w:val="start"/>
        <w:bidi/>
      </w:pPr>
      <w:r>
        <w:rPr>
          <w:sz w:val="24"/>
          <w:szCs w:val="24"/>
          <w:b w:val="1"/>
          <w:bCs w:val="1"/>
          <w:rtl/>
        </w:rPr>
        <w:t xml:space="preserve">
الأعلام،(دار العلم للملايين - بيروت،2002،ط 15،ج 1،ص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2026-07-01T22:12:11+03:00</dcterms:created>
  <dcterms:modified xsi:type="dcterms:W3CDTF">2026-07-01T22:12:11+03:00</dcterms:modified>
</cp:coreProperties>
</file>

<file path=docProps/custom.xml><?xml version="1.0" encoding="utf-8"?>
<Properties xmlns="http://schemas.openxmlformats.org/officeDocument/2006/custom-properties" xmlns:vt="http://schemas.openxmlformats.org/officeDocument/2006/docPropsVTypes"/>
</file>