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الشرتوني
</w:t>
      </w:r>
    </w:p>
    <w:p>
      <w:pPr>
        <w:jc w:val="start"/>
        <w:bidi/>
      </w:pPr>
      <w:r>
        <w:rPr>
          <w:rFonts w:ascii="arial" w:hAnsi="arial" w:eastAsia="arial" w:cs="arial"/>
          <w:sz w:val="28"/>
          <w:szCs w:val="28"/>
          <w:b w:val="1"/>
          <w:bCs w:val="1"/>
          <w:rtl/>
        </w:rPr>
        <w:t xml:space="preserve">سعيد الشرتوني
</w:t>
      </w:r>
    </w:p>
    <w:p>
      <w:pPr/>
      <w:r>
        <w:rPr/>
        <w:t xml:space="preserve">سعيد الشرتوني  سعيد بن عبد الله بن ميخائيل بن الياس ابن الخوري شاهين الرامي: لغوي باحث، من أهل شرتون (بلبنان) ولد فيها، وتعلم في مدرسة عبية الأميركيةن ثم عكف على تدريس العربية في مدرسة اليسوعيين ببيروت، وتولى تصحيح مطبوعاتهم اثنين وعشرينعاما. وأثره الباقي كتاب (أقرب الموارد، وذيله - ط) وهو معجم لغوي في ثلاثة مجلدات. وله (شروح على كتاب بحث المطالب - ط) في الصرف والنحو، و (الشهاب الثاقب - ط) في الترسل، و (السهم الصائب - ط) انتقد فيه غنية الطالب للشدياق، و (مطالع الأضواء - ط) و (الغصن الرطيب - ط) و (نجدة البراع - ط) الأول منه، و (حدائق المنثور والمنظوم - ط) الجزء الأول منه. توفي في إحدى ضواحي بيروت.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2026-07-27T08:45:23+03:00</dcterms:created>
  <dcterms:modified xsi:type="dcterms:W3CDTF">2026-07-27T08:45:23+03:00</dcterms:modified>
</cp:coreProperties>
</file>

<file path=docProps/custom.xml><?xml version="1.0" encoding="utf-8"?>
<Properties xmlns="http://schemas.openxmlformats.org/officeDocument/2006/custom-properties" xmlns:vt="http://schemas.openxmlformats.org/officeDocument/2006/docPropsVTypes"/>
</file>