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بن الحكم
</w:t>
      </w:r>
    </w:p>
    <w:p>
      <w:pPr>
        <w:jc w:val="start"/>
        <w:bidi/>
      </w:pPr>
      <w:r>
        <w:rPr>
          <w:rFonts w:ascii="arial" w:hAnsi="arial" w:eastAsia="arial" w:cs="arial"/>
          <w:sz w:val="28"/>
          <w:szCs w:val="28"/>
          <w:b w:val="1"/>
          <w:bCs w:val="1"/>
          <w:rtl/>
        </w:rPr>
        <w:t xml:space="preserve">السري بن الحكم
</w:t>
      </w:r>
    </w:p>
    <w:p>
      <w:pPr/>
      <w:r>
        <w:rPr/>
        <w:t xml:space="preserve">السري بن الحكم  السري بن الحكم بن يوسف: امير، من الولاة. كان مقداما فاتكا فيه دهاء. اصله من خراسان. دخل مصر في ايام الرشيد، ولما مات الرشيد، ودعا المأمون إلى خلع الامين، قام السري بالدعوة في مصر، فأرتفع شأنه، وكان شجاعا فأحبه الجند. وولى مصر سنة 200 هـ ، فأقام ستة اشهر وثار عليه بعض قواد الجند، فخلعوه (سنة 201 هـ) وانتهبوا منزله، فأعاده المأمون إلى الولاية في السنة نفسها، فتتبع اثار القائمين بالثورة فقتل وصلب كثيرين واباد أهل الحوف، وامتنع عليه جمع من الجند فتغلب عليهم واخرجهم في مركب بالنيل، ومعهم اخ له، فأغرقهم جميعا. واقام في ولايته إلى ان توفي. </w:t>
      </w:r>
    </w:p>
    <w:p>
      <w:pPr>
        <w:jc w:val="start"/>
        <w:bidi/>
      </w:pPr>
      <w:r>
        <w:rPr>
          <w:sz w:val="24"/>
          <w:szCs w:val="24"/>
          <w:b w:val="1"/>
          <w:bCs w:val="1"/>
          <w:rtl/>
        </w:rPr>
        <w:t xml:space="preserve">
الأعلام،(دار العلم للملايين - بيروت،2002،ط 15،ج 3،ص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2026-06-20T05:15:49+03:00</dcterms:created>
  <dcterms:modified xsi:type="dcterms:W3CDTF">2026-06-20T05:15:49+03:00</dcterms:modified>
</cp:coreProperties>
</file>

<file path=docProps/custom.xml><?xml version="1.0" encoding="utf-8"?>
<Properties xmlns="http://schemas.openxmlformats.org/officeDocument/2006/custom-properties" xmlns:vt="http://schemas.openxmlformats.org/officeDocument/2006/docPropsVTypes"/>
</file>