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سلمى الأنصارية
</w:t>
      </w:r>
    </w:p>
    <w:p>
      <w:pPr>
        <w:jc w:val="start"/>
        <w:bidi/>
      </w:pPr>
      <w:r>
        <w:rPr>
          <w:rFonts w:ascii="arial" w:hAnsi="arial" w:eastAsia="arial" w:cs="arial"/>
          <w:sz w:val="28"/>
          <w:szCs w:val="28"/>
          <w:b w:val="1"/>
          <w:bCs w:val="1"/>
          <w:rtl/>
        </w:rPr>
        <w:t xml:space="preserve">سلمى الأنصارية
</w:t>
      </w:r>
    </w:p>
    <w:p>
      <w:pPr/>
      <w:r>
        <w:rPr/>
        <w:t xml:space="preserve">سلمى الأنصارية (د) سلمى الأنصارية، غير منسوبة.</w:t>
      </w:r>
    </w:p>
    <w:p/>
    <w:p>
      <w:pPr/>
      <w:r>
        <w:rPr/>
        <w:t xml:space="preserve">بايعت النبي صلى الله عليه وسلم.</w:t>
      </w:r>
    </w:p>
    <w:p/>
    <w:p>
      <w:pPr/>
      <w:r>
        <w:rPr/>
        <w:t xml:space="preserve">روى محمد بن إسحاق، عن رجل من الأنصار، عن أمه سلمى قالت: أتيت النبي صلى الله عليه وسلم أبايعه في نسوة من الأنصار، فكان فيما أخذ علينا: أن لا نغش أزواجنا. أخرجه ابن منده وقال: هذه بنت قيس. وسنذكرها إن شاء الله تعالى.</w:t>
      </w:r>
    </w:p>
    <w:p>
      <w:pPr>
        <w:jc w:val="start"/>
        <w:bidi/>
      </w:pPr>
      <w:r>
        <w:rPr>
          <w:sz w:val="24"/>
          <w:szCs w:val="24"/>
          <w:b w:val="1"/>
          <w:bCs w:val="1"/>
          <w:rtl/>
        </w:rPr>
        <w:t xml:space="preserve">
أسد الغابة في معرفة الصحابة،(دار ابن حزم - بيروت،2012،ط 1،ج 1،ص 1533)/(دار الكتب العلمية - بيروت،1994،ط 1،ج 7،ص 147)/(دار الفكر - بيروت،1989،ط 1،ج 6،ص 146)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سلمى الأنصارية
</w:t>
      </w:r>
    </w:p>
    <w:p>
      <w:pPr/>
      <w:r>
        <w:rPr/>
        <w:t xml:space="preserve">سلمى الأنصارية غير منسوبة.</w:t>
      </w:r>
    </w:p>
    <w:p/>
    <w:p>
      <w:pPr/>
      <w:r>
        <w:rPr/>
        <w:t xml:space="preserve">روى حديثها محمد بن إسحاق عن رجل من الأنصار، عن أمه سلمى، قالت: أتيت النبي صلى الله عليه وسلم أبايعه في نسوة من الأنصار، فكان فيما أخذ علينا ألا نغش أزواجنا، ذكرها ابن مندة من طريق ابن إسحاق، وجوز أن تكون هي بنت قيس التي مضت قريبا، فإن الحديث واحد، لكن في بنت قيس إن الراوي عنها سليط بن أيوب عن أبيه عن جدته، وهاهنا رجل من الأنصار عن أمه.</w:t>
      </w:r>
    </w:p>
    <w:p>
      <w:pPr>
        <w:jc w:val="start"/>
        <w:bidi/>
      </w:pPr>
      <w:r>
        <w:rPr>
          <w:sz w:val="24"/>
          <w:szCs w:val="24"/>
          <w:b w:val="1"/>
          <w:bCs w:val="1"/>
          <w:rtl/>
        </w:rPr>
        <w:t xml:space="preserve">
الإصابة في تمييز الصحابة،(دار الكتب العلمية - بيروت،1995،ط 1،ج 8،ص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2026-07-27T13:14:30+03:00</dcterms:created>
  <dcterms:modified xsi:type="dcterms:W3CDTF">2026-07-27T13:14:30+03:00</dcterms:modified>
</cp:coreProperties>
</file>

<file path=docProps/custom.xml><?xml version="1.0" encoding="utf-8"?>
<Properties xmlns="http://schemas.openxmlformats.org/officeDocument/2006/custom-properties" xmlns:vt="http://schemas.openxmlformats.org/officeDocument/2006/docPropsVTypes"/>
</file>