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خولة بنت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حكيم
</w:t>
      </w:r>
    </w:p>
    <w:p>
      <w:pPr/>
      <w:r>
        <w:rPr/>
        <w:t xml:space="preserve">خولة بنت حكيم (ع س) خولة بنت حكيم الأنصارية.</w:t>
      </w:r>
    </w:p>
    <w:p/>
    <w:p>
      <w:pPr/>
      <w:r>
        <w:rPr/>
        <w:t xml:space="preserve">فرق الطبراني بينها وبين خولة بنت حكيم السلمية، امرأة عثمان بن مظعون رضي الله عنه.</w:t>
      </w:r>
    </w:p>
    <w:p/>
    <w:p>
      <w:pPr/>
      <w:r>
        <w:rPr/>
        <w:t xml:space="preserve">أخبرنا أبو موسى إذنا، أخبرنا أبو غالب الكوشيدي، أخبرنا أبو بكر بن ريذة (ح)، قال أبو موسى: وأخبرنا الحسن بن أحمد، حدثنا أبو نعيم- قالا-: حدثنا سليمان، حدثنا علي بن عبد العزيز، حدثنا مسلم بن إبراهيم، حدثنا شعبة، عن عطاء الخراساني، عن سعيد بن المسيب، عن خولة بنت حكيم قالت: سألت النبي صلى الله عليه وسلم، فقلت: يا رسول الله، المرأة ترى في المنام ما يرى الرجل؟ قال: إذا رأت ذلك فلتغتسل.</w:t>
      </w:r>
    </w:p>
    <w:p/>
    <w:p>
      <w:pPr/>
      <w:r>
        <w:rPr/>
        <w:t xml:space="preserve">رواه إسماعيل بن عياش، عن عطاء. ورواه الثوري، عن علي بن زيد، عن سعيد.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1509)/(دار الكتب العلمية - بيروت،1994،ط 1،ج 7،ص 93)/(دار الفكر - بيروت،1989،ط 1،ج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2026-05-27T21:51:33+03:00</dcterms:created>
  <dcterms:modified xsi:type="dcterms:W3CDTF">2026-05-27T21:51:33+03:00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