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خداش
</w:t>
      </w:r>
    </w:p>
    <w:p>
      <w:pPr>
        <w:jc w:val="start"/>
        <w:bidi/>
      </w:pPr>
      <w:r>
        <w:rPr>
          <w:rFonts w:ascii="arial" w:hAnsi="arial" w:eastAsia="arial" w:cs="arial"/>
          <w:sz w:val="28"/>
          <w:szCs w:val="28"/>
          <w:b w:val="1"/>
          <w:bCs w:val="1"/>
          <w:rtl/>
        </w:rPr>
        <w:t xml:space="preserve">أبو خداش
</w:t>
      </w:r>
    </w:p>
    <w:p>
      <w:pPr/>
      <w:r>
        <w:rPr/>
        <w:t xml:space="preserve">أبو خداش (د ع) أبو خداش اللخمي.</w:t>
      </w:r>
    </w:p>
    <w:p/>
    <w:p>
      <w:pPr/>
      <w:r>
        <w:rPr/>
        <w:t xml:space="preserve">له صحبة، عداده في أهل الشام. روى عنه عبد الله بن محيريز قوله. أخرجه ابن منده وأبو نعيم مختصرا.</w:t>
      </w:r>
    </w:p>
    <w:p/>
    <w:p>
      <w:pPr/>
      <w:r>
        <w:rPr/>
        <w:t xml:space="preserve">قلت: أخرج ابن منده وأبو نعيم هذا بعد الذي قبله، ظنا منهما أنهما اثنان، وهما واحد.</w:t>
      </w:r>
    </w:p>
    <w:p/>
    <w:p>
      <w:pPr/>
      <w:r>
        <w:rPr/>
        <w:t xml:space="preserve">والعجب منهما أنهما رويا في الأول فقالا: «إن شيخا من شرعب» ثم قالا ها هنا: أبو خداش اللخمي! فلو علما أن شرعبا من لخم لم يجعلا هذه الترجمة، ولفعلا كما فعل أبو عمر، أخرج الأول حسب، وجعل ابن محيريز راويا عنه. وابن منده وأبو نعيم جعلا الراوي عن الأول حريز ابن عثمان، وعن الثاني ابن محيريز، وأما شرعب فهو ابن مالك بن ذعر بن حجر بن جزيلة ابن لخم، بطن من لخم، فبان بهذا أنهما واحد، وأن من جعلهما اثنين فقد وهم، والله أعلم.</w:t>
      </w:r>
    </w:p>
    <w:p/>
    <w:p>
      <w:pPr/>
      <w:r>
        <w:rPr/>
        <w:t xml:space="preserve">حبان: بكسر الحاء، وآخره نون.</w:t>
      </w:r>
    </w:p>
    <w:p>
      <w:pPr>
        <w:jc w:val="start"/>
        <w:bidi/>
      </w:pPr>
      <w:r>
        <w:rPr>
          <w:sz w:val="24"/>
          <w:szCs w:val="24"/>
          <w:b w:val="1"/>
          <w:bCs w:val="1"/>
          <w:rtl/>
        </w:rPr>
        <w:t xml:space="preserve">
أسد الغابة في معرفة الصحابة،(دار ابن حزم - بيروت،2012،ط 1،ج 1،ص 1309)/(دار الكتب العلمية - بيروت،1994،ط 1،ج 6،ص 81)/(دار الفكر - بيروت،1989،ط 1،ج 5،ص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2026-06-13T20:23:50+03:00</dcterms:created>
  <dcterms:modified xsi:type="dcterms:W3CDTF">2026-06-13T20:23:50+03:00</dcterms:modified>
</cp:coreProperties>
</file>

<file path=docProps/custom.xml><?xml version="1.0" encoding="utf-8"?>
<Properties xmlns="http://schemas.openxmlformats.org/officeDocument/2006/custom-properties" xmlns:vt="http://schemas.openxmlformats.org/officeDocument/2006/docPropsVTypes"/>
</file>