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w:t>
      </w:r>
    </w:p>
    <w:p>
      <w:pPr>
        <w:jc w:val="start"/>
        <w:bidi/>
      </w:pPr>
      <w:r>
        <w:rPr>
          <w:rFonts w:ascii="arial" w:hAnsi="arial" w:eastAsia="arial" w:cs="arial"/>
          <w:sz w:val="28"/>
          <w:szCs w:val="28"/>
          <w:b w:val="1"/>
          <w:bCs w:val="1"/>
          <w:rtl/>
        </w:rPr>
        <w:t xml:space="preserve">أبو أيوب
</w:t>
      </w:r>
    </w:p>
    <w:p>
      <w:pPr/>
      <w:r>
        <w:rPr/>
        <w:t xml:space="preserve">أبو أيوب (س) أبو أيوب.</w:t>
      </w:r>
    </w:p>
    <w:p/>
    <w:p>
      <w:pPr/>
      <w:r>
        <w:rPr/>
        <w:t xml:space="preserve">أخرجه أبو موسى وقال: أورده أبو بكر بن أبي علي، وقال: أكثر ظني أنه الأنصاري.</w:t>
      </w:r>
    </w:p>
    <w:p/>
    <w:p>
      <w:pPr/>
      <w:r>
        <w:rPr/>
        <w:t xml:space="preserve">وروى عن علي بن مسهر، عن الإفريقي، عن أبيه، عن أبي أيوب قال: سمعت النبي صلى الله عليه وسلم يقول: «إن للمسلم على أخيه المسلم ست خصال من المعروف، إن ترك منها شيئا ترك حقا لأخيه واجبا: أن يجيبه إذا دعاه... » الحديث.</w:t>
      </w:r>
    </w:p>
    <w:p/>
    <w:p>
      <w:pPr/>
      <w:r>
        <w:rPr/>
        <w:t xml:space="preserve">أخرجه أبو موسى مختصرا، فإن أراد أبا أيوب خالد بن زيد الأنصاري، فلم يذكر اسمه ولا ما يعرف به أنه هو، وإن أراد غيره فقد فاته أبو أيوب الأنصاري، والله أعلم.</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23)/(دار الفكر - بيروت،1989،ط 1،ج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2026-07-27T13:13:49+03:00</dcterms:created>
  <dcterms:modified xsi:type="dcterms:W3CDTF">2026-07-27T13:13:49+03:00</dcterms:modified>
</cp:coreProperties>
</file>

<file path=docProps/custom.xml><?xml version="1.0" encoding="utf-8"?>
<Properties xmlns="http://schemas.openxmlformats.org/officeDocument/2006/custom-properties" xmlns:vt="http://schemas.openxmlformats.org/officeDocument/2006/docPropsVTypes"/>
</file>