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أمامة الأنصاري
</w:t>
      </w:r>
    </w:p>
    <w:p>
      <w:pPr>
        <w:jc w:val="start"/>
        <w:bidi/>
      </w:pPr>
      <w:r>
        <w:rPr>
          <w:rFonts w:ascii="arial" w:hAnsi="arial" w:eastAsia="arial" w:cs="arial"/>
          <w:sz w:val="28"/>
          <w:szCs w:val="28"/>
          <w:b w:val="1"/>
          <w:bCs w:val="1"/>
          <w:rtl/>
        </w:rPr>
        <w:t xml:space="preserve">أبو أمامة الأنصاري
</w:t>
      </w:r>
    </w:p>
    <w:p>
      <w:pPr/>
      <w:r>
        <w:rPr/>
        <w:t xml:space="preserve">أبو أمامة الأنصاري (د ع) أبو أمامة الأنصاري. وروى الجريري، عن أبي نضرة، عن أبي سعيد الخدري قال: دخل النبي- صلى الله عليه وسلم- المسجد، فإذا برجل من الأنصار يقال له «أبو أمامة»... وذكر الحديث.</w:t>
      </w:r>
    </w:p>
    <w:p/>
    <w:p>
      <w:pPr/>
      <w:r>
        <w:rPr/>
        <w:t xml:space="preserve">أخرجه ابن منده وأبو نعيم كذا مختصرا.</w:t>
      </w:r>
    </w:p>
    <w:p>
      <w:pPr>
        <w:jc w:val="start"/>
        <w:bidi/>
      </w:pPr>
      <w:r>
        <w:rPr>
          <w:sz w:val="24"/>
          <w:szCs w:val="24"/>
          <w:b w:val="1"/>
          <w:bCs w:val="1"/>
          <w:rtl/>
        </w:rPr>
        <w:t xml:space="preserve">
أسد الغابة في معرفة الصحابة،(دار ابن حزم - بيروت،2012،ط 1،ج 1،ص 1280)/(دار الكتب العلمية - بيروت،1994،ط 1،ج 6،ص 14)/(دار الفكر - بيروت،1989،ط 1،ج 5،ص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أمامة الأنصاري
</w:t>
      </w:r>
    </w:p>
    <w:p>
      <w:pPr/>
      <w:r>
        <w:rPr/>
        <w:t xml:space="preserve">أبو أمامة الأنصاري غير منسوب مسمى.</w:t>
      </w:r>
    </w:p>
    <w:p/>
    <w:p>
      <w:pPr/>
      <w:r>
        <w:rPr/>
        <w:t xml:space="preserve">فرق ابن مندة بينه وبين الباهلي؛ فقال: روى غسان بن عوف عن الجريري، عن أبي نضرة، عن أبي سعيد، قال: دخل رسول الله صلى الله عليه وسلم المسجد فإذا هو برجل من الأنصار يقال له أبو أمامة... فذكر الحديث، كذا ذكره.</w:t>
      </w:r>
    </w:p>
    <w:p/>
    <w:p>
      <w:pPr/>
      <w:r>
        <w:rPr/>
        <w:t xml:space="preserve">وقد أخرجه أبو داود من هذا الوجه، فقال فيه: فرأى رجلا من الأنصار جالسا في غير وقت الصلاة، فقال: يا رسول الله، هموم لزمتني، وديون؛ فقال: «ألا أعلمك حديثا إذا قلته قضى الله دينك؟» قال: قلت: بلى يا رسول الله... فذكر الحديث. وقال في آخره: فقلتها فقضى الله ديني.</w:t>
      </w:r>
    </w:p>
    <w:p/>
    <w:p>
      <w:pPr/>
      <w:r>
        <w:rPr/>
        <w:t xml:space="preserve">وظاهر سياقه في أوله أنه من حديث أبي سعيد؛ وآخره أنه من رواية أبي أمامة هذا.</w:t>
      </w:r>
    </w:p>
    <w:p/>
    <w:p>
      <w:pPr/>
      <w:r>
        <w:rPr/>
        <w:t xml:space="preserve">وقد أخل المزني بترجمته في «التهذيب»، وفي «الأطراف»، واستدركته عليه فيهما، وأغفله أبو أحمد الحاكم في «الكنى»، ويجوز أنه أبو أمامة بن ثعلبة الحارثي؛ لكن أفرده ابن مندة، وتبعه أبو نعيم.</w:t>
      </w:r>
    </w:p>
    <w:p>
      <w:pPr>
        <w:jc w:val="start"/>
        <w:bidi/>
      </w:pPr>
      <w:r>
        <w:rPr>
          <w:sz w:val="24"/>
          <w:szCs w:val="24"/>
          <w:b w:val="1"/>
          <w:bCs w:val="1"/>
          <w:rtl/>
        </w:rPr>
        <w:t xml:space="preserve">
الإصابة في تمييز الصحابة،(دار الكتب العلمية - بيروت،1995،ط 1،ج 7،ص 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2026-07-27T14:16:41+03:00</dcterms:created>
  <dcterms:modified xsi:type="dcterms:W3CDTF">2026-07-27T14:16:41+03:00</dcterms:modified>
</cp:coreProperties>
</file>

<file path=docProps/custom.xml><?xml version="1.0" encoding="utf-8"?>
<Properties xmlns="http://schemas.openxmlformats.org/officeDocument/2006/custom-properties" xmlns:vt="http://schemas.openxmlformats.org/officeDocument/2006/docPropsVTypes"/>
</file>