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الشيخ السعيد
</w:t>
      </w:r>
    </w:p>
    <w:p>
      <w:pPr>
        <w:jc w:val="start"/>
        <w:bidi/>
      </w:pPr>
      <w:r>
        <w:rPr>
          <w:rFonts w:ascii="arial" w:hAnsi="arial" w:eastAsia="arial" w:cs="arial"/>
          <w:sz w:val="28"/>
          <w:szCs w:val="28"/>
          <w:b w:val="1"/>
          <w:bCs w:val="1"/>
          <w:rtl/>
        </w:rPr>
        <w:t xml:space="preserve">ابن الشيخ السعيد
</w:t>
      </w:r>
    </w:p>
    <w:p>
      <w:pPr/>
      <w:r>
        <w:rPr/>
        <w:t xml:space="preserve">ابن الشيخ السعيد  زكريا بن بلال بن يوسف المراغي، أبو يحيى ابن الشيخ السعيد: طبيب رأيت بخطه بضع رسائل، إحداها فرغ من تعليقها سنة 625 هـ ، في محروسة ’’نكيسار’’ والثانية أولها: قال ابقراط، وآخرها: فرغ من تعليقه أبو يحيى زكريا الخ سنة 617 في مدينة حلب. والثالثة في ’’الطب’’ كالسابقتين، مرتبة على الأبواب كتبها بمدينة أرزنجان، وفي نهايتها إجازة من عبد اللطيف بن يوسف بن محمد البغدادي بارزنكان (كذا) لنور الدين جمال الإسلام شمس الحكما أبي يحيى زكريا الخ سنة 617. </w:t>
      </w:r>
    </w:p>
    <w:p>
      <w:pPr>
        <w:jc w:val="start"/>
        <w:bidi/>
      </w:pPr>
      <w:r>
        <w:rPr>
          <w:sz w:val="24"/>
          <w:szCs w:val="24"/>
          <w:b w:val="1"/>
          <w:bCs w:val="1"/>
          <w:rtl/>
        </w:rPr>
        <w:t xml:space="preserve">
الأعلام،(دار العلم للملايين - بيروت،2002،ط 15،ج 3،ص 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2026-07-27T09:13:46+03:00</dcterms:created>
  <dcterms:modified xsi:type="dcterms:W3CDTF">2026-07-27T09:13:46+03:00</dcterms:modified>
</cp:coreProperties>
</file>

<file path=docProps/custom.xml><?xml version="1.0" encoding="utf-8"?>
<Properties xmlns="http://schemas.openxmlformats.org/officeDocument/2006/custom-properties" xmlns:vt="http://schemas.openxmlformats.org/officeDocument/2006/docPropsVTypes"/>
</file>