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عمرو
</w:t>
      </w:r>
    </w:p>
    <w:p>
      <w:pPr/>
      <w:r>
        <w:rPr/>
        <w:t xml:space="preserve">هانئ بن عمرو (ع) هانئ بن عمرو، أبو شريح الخزاعي. مختلف في اسمه، ذكره سليمان فيمن اسمه هانئ.</w:t>
      </w:r>
    </w:p>
    <w:p/>
    <w:p>
      <w:pPr/>
      <w:r>
        <w:rPr/>
        <w:t xml:space="preserve">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1215)/(دار الكتب العلمية - بيروت،1994،ط 1،ج 5،ص 357)/(دار الفكر - بيروت،1989،ط 1،ج 4،ص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عمرو
</w:t>
      </w:r>
    </w:p>
    <w:p>
      <w:pPr/>
      <w:r>
        <w:rPr/>
        <w:t xml:space="preserve">هانئ بن عمرو أبو شريح الخزاعي- سماه الطبري- والمشهور أن اسمه خويلد.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2026-06-13T19:32:58+03:00</dcterms:created>
  <dcterms:modified xsi:type="dcterms:W3CDTF">2026-06-13T19:32:58+03:00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