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بن حذيفة
</w:t>
      </w:r>
    </w:p>
    <w:p>
      <w:pPr>
        <w:jc w:val="start"/>
        <w:bidi/>
      </w:pPr>
      <w:r>
        <w:rPr>
          <w:rFonts w:ascii="arial" w:hAnsi="arial" w:eastAsia="arial" w:cs="arial"/>
          <w:sz w:val="28"/>
          <w:szCs w:val="28"/>
          <w:b w:val="1"/>
          <w:bCs w:val="1"/>
          <w:rtl/>
        </w:rPr>
        <w:t xml:space="preserve">نبيه بن حذيفة
</w:t>
      </w:r>
    </w:p>
    <w:p>
      <w:pPr/>
      <w:r>
        <w:rPr/>
        <w:t xml:space="preserve">نبيه بن حذيفة (ب) نبيه بن حذيفة بن غانم بن عامر بن عبد الله بن عبيد بن عويج بن عدي بن كعب بن لؤي القرشي العدوي، وهو أخو أبي جهم بن حذيفة.</w:t>
      </w:r>
    </w:p>
    <w:p/>
    <w:p>
      <w:pPr/>
      <w:r>
        <w:rPr/>
        <w:t xml:space="preserve">ولا أعلم له ولا لأحد من إخوته رواية. </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296)/(دار الفكر - بيروت،1989،ط 1،ج 4،ص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حذيفة
</w:t>
      </w:r>
    </w:p>
    <w:p>
      <w:pPr/>
      <w:r>
        <w:rPr/>
        <w:t xml:space="preserve">نبيه بن حذيفة بن غانم بن عامر بن عبد الله بن عبيد بن عويج بن عدي بن كعب بن لؤي القرشي العدوي، أخو أبي جهم بن حذيفة.</w:t>
      </w:r>
    </w:p>
    <w:p/>
    <w:p>
      <w:pPr/>
      <w:r>
        <w:rPr/>
        <w:t xml:space="preserve">ذكره أبو عمر في ترجمة أخيه، وقال: لا أعلم له رؤية.</w:t>
      </w:r>
    </w:p>
    <w:p>
      <w:pPr>
        <w:jc w:val="start"/>
        <w:bidi/>
      </w:pPr>
      <w:r>
        <w:rPr>
          <w:sz w:val="24"/>
          <w:szCs w:val="24"/>
          <w:b w:val="1"/>
          <w:bCs w:val="1"/>
          <w:rtl/>
        </w:rPr>
        <w:t xml:space="preserve">
الإصابة في تمييز الصحابة،(دار الكتب العلمية - بيروت،1995،ط 1،ج 6،ص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حذيفة بن غانم بن عامر بن عبد الله بن عبيد بن عويج بن عدي بن كعب
</w:t>
      </w:r>
    </w:p>
    <w:p>
      <w:pPr/>
      <w:r>
        <w:rPr/>
        <w:t xml:space="preserve">نبيه بن حذيفة بن غانم بن عامر بن عبد الله بن عبيد بن عويج بن عدي بن كعب  له صحبة، وهو أخو أبي جهم بن حذيفة، ولا أعلم له ولا لأحد من إخوته رواية.</w:t>
      </w:r>
    </w:p>
    <w:p>
      <w:pPr>
        <w:jc w:val="start"/>
        <w:bidi/>
      </w:pPr>
      <w:r>
        <w:rPr>
          <w:sz w:val="24"/>
          <w:szCs w:val="24"/>
          <w:b w:val="1"/>
          <w:bCs w:val="1"/>
          <w:rtl/>
        </w:rPr>
        <w:t xml:space="preserve">
الاستيعاب في معرفة الأصحاب،(دار الجيل - بيروت،1992،ط 1،ج 4،ص 1492)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حذافة بن غانم بن عامر بن عبد الله بن عبيد بن عويج بن عدي بن كعب القرشي العدوي
</w:t>
      </w:r>
    </w:p>
    <w:p>
      <w:pPr/>
      <w:r>
        <w:rPr/>
        <w:t xml:space="preserve">نبيه بن حذافة بن غانم بن عامر بن عبد الله بن عبيد بن عويج بن عدي بن كعب القرشي العدوي: </w:t>
      </w:r>
    </w:p>
    <w:p/>
    <w:p>
      <w:pPr/>
      <w:r>
        <w:rPr/>
        <w:t xml:space="preserve">ذكره ابن عبد البر، وقال: له صحبة، وهو أخو أبي جهم بن حذافة، ولا أعلم له ولا لأحد من إخوته رواية. انتهى.</w:t>
      </w:r>
    </w:p>
    <w:p/>
    <w:p>
      <w:pPr/>
      <w:r>
        <w:rPr/>
        <w:t xml:space="preserve">وعبيد في نسبه، بفتح العين وكسر الباء، وعويج والد عبيد، بفتح العين وكسر الواو، وبالجيم.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2026-06-13T20:29:26+03:00</dcterms:created>
  <dcterms:modified xsi:type="dcterms:W3CDTF">2026-06-13T20:29:26+03:00</dcterms:modified>
</cp:coreProperties>
</file>

<file path=docProps/custom.xml><?xml version="1.0" encoding="utf-8"?>
<Properties xmlns="http://schemas.openxmlformats.org/officeDocument/2006/custom-properties" xmlns:vt="http://schemas.openxmlformats.org/officeDocument/2006/docPropsVTypes"/>
</file>