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
</w:t>
      </w:r>
    </w:p>
    <w:p>
      <w:pPr/>
      <w:r>
        <w:rPr/>
        <w:t xml:space="preserve">نافع (س) نافع. هو من الذين قدموا من الشام إلى الحبشة، فنزل فيهم: </w:t>
      </w:r>
    </w:p>
    <w:p>
      <w:pPr/>
      <w:r>
        <w:rPr>
          <w:color w:val="0000ff"/>
        </w:rPr>
        <w:t xml:space="preserve">{الذين آتيناهم الكتاب من قبله هم به يؤمنون}</w:t>
      </w:r>
    </w:p>
    <w:p>
      <w:pPr/>
      <w:r>
        <w:rPr/>
        <w:t xml:space="preserve">، وقد ذكرناه في أبرهة.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1185)/(دار الكتب العلمية - بيروت،1994،ط 1،ج 5،ص 292)/(دار الفكر - بيروت،1989،ط 1،ج 4،ص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2026-06-13T20:21:35+03:00</dcterms:created>
  <dcterms:modified xsi:type="dcterms:W3CDTF">2026-06-13T20:21:35+03:00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