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صبره
</w:t>
      </w:r>
    </w:p>
    <w:p>
      <w:pPr>
        <w:jc w:val="start"/>
        <w:bidi/>
      </w:pPr>
      <w:r>
        <w:rPr>
          <w:rFonts w:ascii="arial" w:hAnsi="arial" w:eastAsia="arial" w:cs="arial"/>
          <w:sz w:val="28"/>
          <w:szCs w:val="28"/>
          <w:b w:val="1"/>
          <w:bCs w:val="1"/>
          <w:rtl/>
        </w:rPr>
        <w:t xml:space="preserve">نافع بن صبره
</w:t>
      </w:r>
    </w:p>
    <w:p>
      <w:pPr/>
      <w:r>
        <w:rPr/>
        <w:t xml:space="preserve">نافع بن صبره (ب) نافع بن صبرة.</w:t>
      </w:r>
    </w:p>
    <w:p/>
    <w:p>
      <w:pPr/>
      <w:r>
        <w:rPr/>
        <w:t xml:space="preserve">مخرج حديثه عن أهل المدينة، مثل حديث أبي هريرة في كفارة ما يكون في المجلس من اللغو.</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1183)/(دار الكتب العلمية - بيروت،1994،ط 1،ج 5،ص 288)/(دار الفكر - بيروت،1989،ط 1،ج 4،ص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صبرة
</w:t>
      </w:r>
    </w:p>
    <w:p>
      <w:pPr/>
      <w:r>
        <w:rPr/>
        <w:t xml:space="preserve">نافع بن صبرة مخرج حديثه عن أهل المدينة مثل حديث أبي هريرة في كفارة ما يكون في المجلس من اللغو كذا أورده ابن عبد البر، وهو خطأ نشأ عن تصحيف، وإنما هو نافع بن جبير، بجيم وموحدة مصغرا، وهو ابن مطعم، التابعي المشهور من أهل المدينة، أرسل هذا الحديث، ورواه عنه من أهل المدينة داود بن قيس، كذلك رويناه في نسخة إسماعيل بن جعفر رواية علي بن حجر، عن إسماعيل، وهي في أربعة أجزاء، أحاديثه مرتبة على شيوخ إسماعيل، وهذا الحديث في ترجمة داود بن قيس، وكذا أورده ابن أبي عمر في مسندة، والحميدي في النوادر، وكلاهما عن سفيان بن عيينة، عن داود، وكذا قال محمد بن عجلان عن مسلم بن أبي حمزة، عن نافع بن جبير- مرسلا. وأخرجه الليث بن سعد، عن ابن عجلان، ووصله جماعة منهم أحمد بن الحسن اللهبي، وعبد العزيز بن عبد الله الأويسي، وأبو عاصم النبيل عند ابن أبي الدنيا، وخالد بن يزيد العمري عند الطبراني، أربعتهم عند داود بن قيس، عن نافع بن جبير، عن أبيه، وكذا وصله جماعة عن سفيان بن عيينة، عن محمد بن عجلان، منهم ابن أبي عمر في مسندة عنه، والنسائي في اليوم والليلة، وابن أبي عاصم في الدعاء، والحاكم والطبراني، كلهم من طريق عبد الجبار بن العلاء عن سفيان، وصححه الحاكم.</w:t>
      </w:r>
    </w:p>
    <w:p>
      <w:pPr>
        <w:jc w:val="start"/>
        <w:bidi/>
      </w:pPr>
      <w:r>
        <w:rPr>
          <w:sz w:val="24"/>
          <w:szCs w:val="24"/>
          <w:b w:val="1"/>
          <w:bCs w:val="1"/>
          <w:rtl/>
        </w:rPr>
        <w:t xml:space="preserve">
الإصابة في تمييز الصحابة،(دار الكتب العلمية - بيروت،1995،ط 1،ج 6،ص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صبرة
</w:t>
      </w:r>
    </w:p>
    <w:p>
      <w:pPr/>
      <w:r>
        <w:rPr/>
        <w:t xml:space="preserve">نافع بن صبرة  مخرج حديثه عن أهل المدينة بمثل حديث أبي هريرة في كفارة ما يكون في المجلس من اللغط.</w:t>
      </w:r>
    </w:p>
    <w:p>
      <w:pPr>
        <w:jc w:val="start"/>
        <w:bidi/>
      </w:pPr>
      <w:r>
        <w:rPr>
          <w:sz w:val="24"/>
          <w:szCs w:val="24"/>
          <w:b w:val="1"/>
          <w:bCs w:val="1"/>
          <w:rtl/>
        </w:rPr>
        <w:t xml:space="preserve">
الاستيعاب في معرفة الأصحاب،(دار الجيل - بيروت،1992،ط 1،ج 4،ص 1490)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2026-07-27T10:15:31+03:00</dcterms:created>
  <dcterms:modified xsi:type="dcterms:W3CDTF">2026-07-27T10:15:31+03:00</dcterms:modified>
</cp:coreProperties>
</file>

<file path=docProps/custom.xml><?xml version="1.0" encoding="utf-8"?>
<Properties xmlns="http://schemas.openxmlformats.org/officeDocument/2006/custom-properties" xmlns:vt="http://schemas.openxmlformats.org/officeDocument/2006/docPropsVTypes"/>
</file>