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
</w:t>
      </w:r>
    </w:p>
    <w:p>
      <w:pPr/>
      <w:r>
        <w:rPr/>
        <w:t xml:space="preserve">معمر (س) معمر.</w:t>
      </w:r>
    </w:p>
    <w:p/>
    <w:p>
      <w:pPr/>
      <w:r>
        <w:rPr/>
        <w:t xml:space="preserve">أورده ابن شاهين، وروى عن محمد بن جحش قال: مر النبي صلى الله عليه وسلم على معمر وفخذاه مكشوفتان، فقال: يا معمر، غط فخذك، فإن الفخذ عورة. قال ابن شاهين: المعروف حديث «جرهد».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1157)/(دار الكتب العلمية - بيروت،1994،ط 1،ج 5،ص 228)/(دار الفكر - بيروت،1989،ط 1،ج 4،ص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2026-06-10T13:31:17+03:00</dcterms:created>
  <dcterms:modified xsi:type="dcterms:W3CDTF">2026-06-10T13:31:17+03:00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