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عياض
</w:t>
      </w:r>
    </w:p>
    <w:p>
      <w:pPr/>
      <w:r>
        <w:rPr/>
        <w:t xml:space="preserve">معاوية بن عياض (س) معاوية بن عياض الكندي.</w:t>
      </w:r>
    </w:p>
    <w:p/>
    <w:p>
      <w:pPr/>
      <w:r>
        <w:rPr/>
        <w:t xml:space="preserve">قال جعفر: يقال: إن له صحبة، حديثه عند أهل الشام.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1147)/(دار الكتب العلمية - بيروت،1994،ط 1،ج 5،ص 205)/(دار الفكر - بيروت،1989،ط 1،ج 4،ص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عياض الكندي
</w:t>
      </w:r>
    </w:p>
    <w:p>
      <w:pPr/>
      <w:r>
        <w:rPr/>
        <w:t xml:space="preserve">معاوية بن عياض الكندي </w:t>
      </w:r>
    </w:p>
    <w:p/>
    <w:p>
      <w:pPr/>
      <w:r>
        <w:rPr/>
        <w:t xml:space="preserve">يقال إن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2026-06-13T19:36:02+03:00</dcterms:created>
  <dcterms:modified xsi:type="dcterms:W3CDTF">2026-06-13T19:36:02+03:00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