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عمرو النجاري
</w:t>
      </w:r>
    </w:p>
    <w:p>
      <w:pPr>
        <w:jc w:val="start"/>
        <w:bidi/>
      </w:pPr>
      <w:r>
        <w:rPr>
          <w:rFonts w:ascii="arial" w:hAnsi="arial" w:eastAsia="arial" w:cs="arial"/>
          <w:sz w:val="28"/>
          <w:szCs w:val="28"/>
          <w:b w:val="1"/>
          <w:bCs w:val="1"/>
          <w:rtl/>
        </w:rPr>
        <w:t xml:space="preserve">معاذ بن عمرو النجاري
</w:t>
      </w:r>
    </w:p>
    <w:p>
      <w:pPr/>
      <w:r>
        <w:rPr/>
        <w:t xml:space="preserve">معاذ بن عمرو النجاري معاذ بن عمرو بن قيس بن عبد العزى بن غزية بن عمرو بن عدي بن عوف بن مالك بن النجار الأنصاري الخزرجي.</w:t>
      </w:r>
    </w:p>
    <w:p/>
    <w:p>
      <w:pPr/>
      <w:r>
        <w:rPr/>
        <w:t xml:space="preserve">شهد أحدا والمشاهد كلها مع رسول الله صلى الله عليه وسلم، وقتل يوم اليمامة شهيدا.</w:t>
      </w:r>
    </w:p>
    <w:p/>
    <w:p>
      <w:pPr/>
      <w:r>
        <w:rPr/>
        <w:t xml:space="preserve">قاله الغساني، عن ابن القداح.</w:t>
      </w:r>
    </w:p>
    <w:p>
      <w:pPr>
        <w:jc w:val="start"/>
        <w:bidi/>
      </w:pPr>
      <w:r>
        <w:rPr>
          <w:sz w:val="24"/>
          <w:szCs w:val="24"/>
          <w:b w:val="1"/>
          <w:bCs w:val="1"/>
          <w:rtl/>
        </w:rPr>
        <w:t xml:space="preserve">
أسد الغابة في معرفة الصحابة،(دار ابن حزم - بيروت،2012،ط 1،ج 1،ص 1143)/(دار الكتب العلمية - بيروت،1994،ط 1،ج 5،ص 195)/(دار الفكر - بيروت،1989،ط 1،ج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w:t>
      </w:r>
    </w:p>
    <w:p>
      <w:pPr/>
      <w:r>
        <w:rPr/>
        <w:t xml:space="preserve">معاذ بن عمرو بن قيس بن عبد العزى بن عزية بن عمرو بن عدي بن عوف بن مالك بن النجار الأنصاري الخزرجي.</w:t>
      </w:r>
    </w:p>
    <w:p/>
    <w:p>
      <w:pPr/>
      <w:r>
        <w:rPr/>
        <w:t xml:space="preserve">ذكر البغوي، عن ابن القداح- أنه شهد أحدا وما بعدها واستشهد باليمامة.</w:t>
      </w:r>
    </w:p>
    <w:p>
      <w:pPr>
        <w:jc w:val="start"/>
        <w:bidi/>
      </w:pPr>
      <w:r>
        <w:rPr>
          <w:sz w:val="24"/>
          <w:szCs w:val="24"/>
          <w:b w:val="1"/>
          <w:bCs w:val="1"/>
          <w:rtl/>
        </w:rPr>
        <w:t xml:space="preserve">
الإصابة في تمييز الصحابة،(دار الكتب العلمية - بيروت،1995،ط 1،ج 6،ص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قيس بن عبد العزى بن غزية بن عمرو بن عدي بن عوف بن غنم بن مالك بن النجار
</w:t>
      </w:r>
    </w:p>
    <w:p>
      <w:pPr/>
      <w:r>
        <w:rPr/>
        <w:t xml:space="preserve">معاذ بن عمرو بن قيس بن عبد العزى بن غزية بن عمرو بن عدي بن عوف بن غنم بن مالك بن النجار  شهد أحدا والمشاهد، واستشهد يوم اليمامة كما قال ابن القداح، ذكره العدوي.</w:t>
      </w:r>
    </w:p>
    <w:p>
      <w:pPr>
        <w:jc w:val="start"/>
        <w:bidi/>
      </w:pPr>
      <w:r>
        <w:rPr>
          <w:sz w:val="24"/>
          <w:szCs w:val="24"/>
          <w:b w:val="1"/>
          <w:bCs w:val="1"/>
          <w:rtl/>
        </w:rPr>
        <w:t xml:space="preserve">
الاستيعاب في معرفة الأصحاب،(دار الجيل - بيروت،1992،ط 1،ج 3،ص 1411)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2026-06-13T21:20:54+03:00</dcterms:created>
  <dcterms:modified xsi:type="dcterms:W3CDTF">2026-06-13T21:20:54+03:00</dcterms:modified>
</cp:coreProperties>
</file>

<file path=docProps/custom.xml><?xml version="1.0" encoding="utf-8"?>
<Properties xmlns="http://schemas.openxmlformats.org/officeDocument/2006/custom-properties" xmlns:vt="http://schemas.openxmlformats.org/officeDocument/2006/docPropsVTypes"/>
</file>