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بحرة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بحرة
</w:t>
      </w:r>
    </w:p>
    <w:p>
      <w:pPr/>
      <w:r>
        <w:rPr/>
        <w:t xml:space="preserve">مسلم بن بحرة (س) مسلم بن بحرة الأنصاري.</w:t>
      </w:r>
    </w:p>
    <w:p/>
    <w:p>
      <w:pPr/>
      <w:r>
        <w:rPr/>
        <w:t xml:space="preserve">أورده ابن أبي علي.</w:t>
      </w:r>
    </w:p>
    <w:p/>
    <w:p>
      <w:pPr/>
      <w:r>
        <w:rPr/>
        <w:t xml:space="preserve">أخبرنا يحيى بن محمود إجازة بإسناده إلى ابن أبي عاصم قال: حدثنا هشام بن عمار، حدثنا إسماعيل بن عياش، عن إسحاق بن عبد الله، عن إبراهيم بن محمد بن مسلم بن بحرة الأنصاري، عن أبيه، عن جده مسلم بن بحرة: أن النبي صلى الله عليه وسلم جعله على أسارى بني قريظة، ينظر إلى فرج الغلام، فإذا رآه قد أنبت ضرب عنقه، ومن لم ينبت جعله في غنائم المسلمين.</w:t>
      </w:r>
    </w:p>
    <w:p/>
    <w:p>
      <w:pPr/>
      <w:r>
        <w:rPr/>
        <w:t xml:space="preserve">أخرجه أبو موسى وقال: «روى إبراهيم بن مسلم بن بحرة: عن أبيه، عن جده». </w:t>
      </w:r>
    </w:p>
    <w:p/>
    <w:p>
      <w:pPr/>
      <w:r>
        <w:rPr/>
        <w:t xml:space="preserve">هكذا فيما عندنا من نسخ كتابه، فعلى هذا يكون «بحرة» الصحابي. محمد وهو ابن مسلم.</w:t>
      </w:r>
    </w:p>
    <w:p/>
    <w:p>
      <w:pPr/>
      <w:r>
        <w:rPr/>
        <w:t xml:space="preserve">والصحيح هو الذي ذكرناه،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1127)/(دار الكتب العلمية - بيروت،1994،ط 1،ج 5،ص 160)/(دار الفكر - بيروت،1989،ط 1،ج 4،ص 390)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2026-06-14T00:36:53+03:00</dcterms:created>
  <dcterms:modified xsi:type="dcterms:W3CDTF">2026-06-14T00:36:53+03:00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