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عمرو القاري
</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 مسعود بن عمرو القاري، من القارة.</w:t>
      </w:r>
    </w:p>
    <w:p/>
    <w:p>
      <w:pPr/>
      <w:r>
        <w:rPr/>
        <w:t xml:space="preserve">كان على المغانم يوم حنين، وأمره رسول الله صلى الله عليه وسلم إن يحبس السبايا والأموال بالجعرانة.</w:t>
      </w:r>
    </w:p>
    <w:p/>
    <w:p>
      <w:pPr/>
      <w:r>
        <w:rPr/>
        <w:t xml:space="preserve">وكان قديم الإسلام.</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1126)/(دار الكتب العلمية - بيروت،1994،ط 1،ج 5،ص 159)/(دار الفكر - بيروت،1989،ط 1،ج 4،ص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بالتشديد بغير همزة، من القارة.</w:t>
      </w:r>
    </w:p>
    <w:p/>
    <w:p>
      <w:pPr/>
      <w:r>
        <w:rPr/>
        <w:t xml:space="preserve">كان على المغانم يوم حنين، فأمره رسول الله صلى الله عليه وآله وسلم أن يحبس السبايا والأموال بالجعرانة، وكذا أورده أبو عمر مختصرا، والذي في جمهرة ابن الكلبي عمرو بن القاري، واستعمله رسول الله صلى الله عليه وآله وسلم على المغانم يوم حنين.</w:t>
      </w:r>
    </w:p>
    <w:p>
      <w:pPr>
        <w:jc w:val="start"/>
        <w:bidi/>
      </w:pPr>
      <w:r>
        <w:rPr>
          <w:sz w:val="24"/>
          <w:szCs w:val="24"/>
          <w:b w:val="1"/>
          <w:bCs w:val="1"/>
          <w:rtl/>
        </w:rPr>
        <w:t xml:space="preserve">
الإصابة في تمييز الصحابة،(دار الكتب العلمية - بيروت،1995،ط 1،ج 6،ص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القاري
</w:t>
      </w:r>
    </w:p>
    <w:p>
      <w:pPr/>
      <w:r>
        <w:rPr/>
        <w:t xml:space="preserve">القاري مسعود بن عمرو القاري. كان على المغانم يوم حنين، وأمره رسول الله صلى الله عليه وسلم أن يحبس السبايا والأموال بالجعرانة. وقال ابن الكلبي: هو مسعود بن عامر.</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w:t>
      </w:r>
    </w:p>
    <w:p>
      <w:pPr/>
      <w:r>
        <w:rPr/>
        <w:t xml:space="preserve">مسعود بن عمرو القاري  من القارة. وكان على المغانم يوم حنين، وأمره رسول الله صلى الله عليه وسلم أن يحبس السبايا والأموال بالجعرانة، قال الكلبي: هو مسعود بن عامر بن ربيعة بن عمرو بن سعد بن عبد العزى ابن محلم صاحب النبي صلى الله عليه وسلم الذي يقال له القاري.</w:t>
      </w:r>
    </w:p>
    <w:p>
      <w:pPr>
        <w:jc w:val="start"/>
        <w:bidi/>
      </w:pPr>
      <w:r>
        <w:rPr>
          <w:sz w:val="24"/>
          <w:szCs w:val="24"/>
          <w:b w:val="1"/>
          <w:bCs w:val="1"/>
          <w:rtl/>
        </w:rPr>
        <w:t xml:space="preserve">
الاستيعاب في معرفة الأصحاب،(دار الجيل - بيروت،1992،ط 1،ج 3،ص 1394)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عمرو القاري بن ربيعة بن عمرو بن سعيد بن عبد العزى بن سلم بن غالب بن عائذة بن تبيع
</w:t>
      </w:r>
    </w:p>
    <w:p>
      <w:pPr/>
      <w:r>
        <w:rPr/>
        <w:t xml:space="preserve">مسعود بن عمرو القاري بن ربيعة بن عمرو بن سعيد بن عبد العزى بن سلم بن غالب بن عائذة بن تبيع بن مليح الهوزن وهم القارة بن خزيمة بن مدركة إخوة أسد بن خزيمة وهم الرماة بمكة </w:t>
      </w:r>
    </w:p>
    <w:p/>
    <w:p>
      <w:pPr/>
      <w:r>
        <w:rPr/>
        <w:t xml:space="preserve">حدثنا أخو خطاب، نا محمد بن جامع العطار، نا حصين بن نمير وحدثنا محمد بن المطلب الخزاعي، نا علي بن قرين، نا حصين بن نمير، عن ابن أبي ليلى، عن عبد الكريم أبي أمية، عن سعيد بن يزيد، عن مسعود بن عمرو عن النبي صلى الله عليه وسلم قال: «لا يزال الرجل يسأل بوجهه حتى لا يكون له عند الله عز وجل وجهٌ»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2026-06-14T02:06:56+03:00</dcterms:created>
  <dcterms:modified xsi:type="dcterms:W3CDTF">2026-06-14T02:06:56+03:00</dcterms:modified>
</cp:coreProperties>
</file>

<file path=docProps/custom.xml><?xml version="1.0" encoding="utf-8"?>
<Properties xmlns="http://schemas.openxmlformats.org/officeDocument/2006/custom-properties" xmlns:vt="http://schemas.openxmlformats.org/officeDocument/2006/docPropsVTypes"/>
</file>