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مسعود بن عبدة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مسعود بن عبدة
</w:t>
      </w:r>
    </w:p>
    <w:p>
      <w:pPr/>
      <w:r>
        <w:rPr/>
        <w:t xml:space="preserve">مسعود بن عبدة (ب) مسعود بن عبدة بن مظهر.</w:t>
      </w:r>
    </w:p>
    <w:p/>
    <w:p>
      <w:pPr/>
      <w:r>
        <w:rPr/>
        <w:t xml:space="preserve">قال الطبري: شهد أحدا هو وابنه نيار بن مسعود مع النبي صلى الله عليه وسلم.</w:t>
      </w:r>
    </w:p>
    <w:p/>
    <w:p>
      <w:pPr/>
      <w:r>
        <w:rPr/>
        <w:t xml:space="preserve">أخرجه أبو عمر.</w:t>
      </w:r>
    </w:p>
    <w:p/>
    <w:p>
      <w:pPr/>
      <w:r>
        <w:rPr/>
        <w:t xml:space="preserve">مظهر: بضم الميم، وبالظاء المعجمة، وبالهاء المشددة المكسورة.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1126)/(دار الكتب العلمية - بيروت،1994،ط 1،ج 5،ص 158)/(دار الفكر - بيروت،1989،ط 1،ج 4،ص 387)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مسعود بن عبدة
</w:t>
      </w:r>
    </w:p>
    <w:p>
      <w:pPr/>
      <w:r>
        <w:rPr/>
        <w:t xml:space="preserve">مسعود بن عبدة بن مظهر، بضم الميم وسكون المعجمة وكسر الهاء.</w:t>
      </w:r>
    </w:p>
    <w:p/>
    <w:p>
      <w:pPr/>
      <w:r>
        <w:rPr/>
        <w:t xml:space="preserve">قال الطبري: شهد أحد هو وابنه نيار بن مسعود، واستدركه ابن فتحون وأبو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مسعود بن عبدة بن مظهر
</w:t>
      </w:r>
    </w:p>
    <w:p>
      <w:pPr/>
      <w:r>
        <w:rPr/>
        <w:t xml:space="preserve">مسعود بن عبدة بن مظهر  قال الطبري: شهد أحدا هو وابنه نيار بن مسعود مع النبي صلى الله عليه وسلم.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3،ص 1393)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2026-06-14T02:00:46+03:00</dcterms:created>
  <dcterms:modified xsi:type="dcterms:W3CDTF">2026-06-14T02:00:46+03:00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