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مسروح أبو بكرة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مسروح أبو بكرة
</w:t>
      </w:r>
    </w:p>
    <w:p>
      <w:pPr/>
      <w:r>
        <w:rPr/>
        <w:t xml:space="preserve">مسروح أبو بكرة (د ع) مسروح أبو بكرة. مولى الحارث بن كلدة الثقفي.</w:t>
      </w:r>
    </w:p>
    <w:p/>
    <w:p>
      <w:pPr/>
      <w:r>
        <w:rPr/>
        <w:t xml:space="preserve">أسلم يوم الطائف، وكناه النبي صلى الله عليه وسلم أبا بكرة، لنزوله من الطائف في بكرة، وقيل: اسمه نفيع بن الحارث. ويرد في الكنى إن شاء الله تعالى.</w:t>
      </w:r>
    </w:p>
    <w:p/>
    <w:p>
      <w:pPr/>
      <w:r>
        <w:rPr/>
        <w:t xml:space="preserve">أخرجه ابن منده،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1123)/(دار الكتب العلمية - بيروت،1994،ط 1،ج 5،ص 149)/(دار الفكر - بيروت،1989،ط 1،ج 4،ص 379)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2026-07-27T08:29:42+03:00</dcterms:created>
  <dcterms:modified xsi:type="dcterms:W3CDTF">2026-07-27T08:29:42+03:00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