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ربيعة
</w:t>
      </w:r>
    </w:p>
    <w:p>
      <w:pPr/>
      <w:r>
        <w:rPr/>
        <w:t xml:space="preserve">محمود بن ربيعة (ب) محمود بن ربيعة. رجل من الأنصار.</w:t>
      </w:r>
    </w:p>
    <w:p/>
    <w:p>
      <w:pPr/>
      <w:r>
        <w:rPr/>
        <w:t xml:space="preserve">مخرج حديثه عن أهل مصر وأهل خراسان، في كالئ المرأة، والدين الذي لا يؤدي.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1106)/(دار الكتب العلمية - بيروت،1994،ط 1،ج 5،ص 111)/(دار الفكر - بيروت،1989،ط 1،ج 4،ص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ربيعة
</w:t>
      </w:r>
    </w:p>
    <w:p>
      <w:pPr/>
      <w:r>
        <w:rPr/>
        <w:t xml:space="preserve">محمود بن ربيعة رجل من الأنصار.</w:t>
      </w:r>
    </w:p>
    <w:p/>
    <w:p>
      <w:pPr/>
      <w:r>
        <w:rPr/>
        <w:t xml:space="preserve">مخرج حديثه عن أهل مصر وخراسان في كالئ المرأة والدين الذي لا يؤدى هكذا ذكره ابن عبد البر ولم يزد.</w:t>
      </w:r>
    </w:p>
    <w:p/>
    <w:p>
      <w:pPr/>
      <w:r>
        <w:rPr/>
        <w:t xml:space="preserve">وهذا أظنه محمود بن الربيع، فإن الدارقطني أخرج في بعض طرق حديث مكحول، عن نافع، عن محمود بن الربيع، عن عبادة بن الصامت في القراءة خلف الإمام- رواية، قال الراوي فيها: عن مكحول، عن نافع، عن محمود بن الربيع، عن عبادة بن الصامت. وفي رواية أخرى: عن نافع، عن محمود بن ربيعة، فإن يكن كذلك فهو الذي قبله كما يحتمل أن يكون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ربيعة
</w:t>
      </w:r>
    </w:p>
    <w:p>
      <w:pPr/>
      <w:r>
        <w:rPr/>
        <w:t xml:space="preserve">محمود بن ربيعة  رجل من الأنصار، مخرج حديثه عن أهل مصر وأهل خراسان في كالئ المرأة والدين الذي لا يؤدى.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2026-06-19T12:20:32+03:00</dcterms:created>
  <dcterms:modified xsi:type="dcterms:W3CDTF">2026-06-19T12:20:32+03:00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