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هلال
</w:t>
      </w:r>
    </w:p>
    <w:p>
      <w:pPr/>
      <w:r>
        <w:rPr/>
        <w:t xml:space="preserve">محمد بن هلال (س) محمد بن هلال بن المعلى. سماه رسول الله صلى الله عليه وآله وسلم محمدا، وشهد فتح مكة.</w:t>
      </w:r>
    </w:p>
    <w:p/>
    <w:p>
      <w:pPr/>
      <w:r>
        <w:rPr/>
        <w:t xml:space="preserve">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1106)/(دار الكتب العلمية - بيروت،1994،ط 1،ج 5،ص 109)/(دار الفكر - بيروت،1989،ط 1،ج 4،ص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هلال بن المعلى
</w:t>
      </w:r>
    </w:p>
    <w:p>
      <w:pPr/>
      <w:r>
        <w:rPr/>
        <w:t xml:space="preserve">محمد بن هلال بن المعلى ذكر القداح أنه شهد فتح مكة، وأن النبي صلى الله عليه وآله وسلم سماه محمدا، أخرجه ابن شاهين، عن ابن أبي داود،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2026-06-19T12:32:50+03:00</dcterms:created>
  <dcterms:modified xsi:type="dcterms:W3CDTF">2026-06-19T12:32:50+03:00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