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أكيدر
</w:t>
      </w:r>
    </w:p>
    <w:p>
      <w:pPr>
        <w:jc w:val="start"/>
        <w:bidi/>
      </w:pPr>
      <w:r>
        <w:rPr>
          <w:rFonts w:ascii="arial" w:hAnsi="arial" w:eastAsia="arial" w:cs="arial"/>
          <w:sz w:val="28"/>
          <w:szCs w:val="28"/>
          <w:b w:val="1"/>
          <w:bCs w:val="1"/>
          <w:rtl/>
        </w:rPr>
        <w:t xml:space="preserve">عبد الملك بن أكيدر
</w:t>
      </w:r>
    </w:p>
    <w:p>
      <w:pPr/>
      <w:r>
        <w:rPr/>
        <w:t xml:space="preserve">عبد الملك بن أكيدر (ع) عبد الملك بن أكيدر، صاحب دومة الجندل. </w:t>
      </w:r>
    </w:p>
    <w:p/>
    <w:p>
      <w:pPr/>
      <w:r>
        <w:rPr/>
        <w:t xml:space="preserve">روى يحيى بن وهب بن عبد الملك صاحب دومة الجندل، عن أبيه، عن جده: أن النبي صلى الله عليه وسلم كتب إلى أبي كتابا، ولم يكن معه خاتم، فختمه بظفره.</w:t>
      </w:r>
    </w:p>
    <w:p/>
    <w:p>
      <w:pPr/>
      <w:r>
        <w:rPr/>
        <w:t xml:space="preserve">ورواه عبد السلام بن محمد، عن إبراهيم بن عمرو بن وهب، عن أبيه، عن جده.</w:t>
      </w:r>
    </w:p>
    <w:p/>
    <w:p>
      <w:pPr/>
      <w:r>
        <w:rPr/>
        <w:t xml:space="preserve">أخرجه ابن منده وأبو نعيم.</w:t>
      </w:r>
    </w:p>
    <w:p/>
    <w:p>
      <w:pPr/>
      <w:r>
        <w:rPr/>
        <w:t xml:space="preserve">قلت: لا شبهة أن النبي صلى الله عليه وسلم كتب إلى عبد الملك في غزوة تبوك، وسار إليه خالد بن الوليد فأسره، ثم صالحه النبي صلى الله عليه وسلم وحمل الجزية إلى النبي صلى الله عليه وسلم، والله أعلم. وقد تقدم في «أكيدر» أتم من هذا.</w:t>
      </w:r>
    </w:p>
    <w:p>
      <w:pPr>
        <w:jc w:val="start"/>
        <w:bidi/>
      </w:pPr>
      <w:r>
        <w:rPr>
          <w:sz w:val="24"/>
          <w:szCs w:val="24"/>
          <w:b w:val="1"/>
          <w:bCs w:val="1"/>
          <w:rtl/>
        </w:rPr>
        <w:t xml:space="preserve">
أسد الغابة في معرفة الصحابة،(دار ابن حزم - بيروت،2012،ط 1،ج 1،ص 792)/(دار الكتب العلمية - بيروت،1994،ط 1،ج 3،ص 504)/(دار الفكر - بيروت،1989،ط 1،ج 3،ص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أكيدر
</w:t>
      </w:r>
    </w:p>
    <w:p>
      <w:pPr/>
      <w:r>
        <w:rPr/>
        <w:t xml:space="preserve">عبد الملك بن أكيدر صاحب دومة الجندل.</w:t>
      </w:r>
    </w:p>
    <w:p/>
    <w:p>
      <w:pPr/>
      <w:r>
        <w:rPr/>
        <w:t xml:space="preserve">ذكره العثماني وابن مندة في «الصحابة»، وأخرج من طريق موسى بن نصر بن سلام عن عمرو بن محمد بن محمد بن الحسين، عن يحيى بن وهب بن عبد الملك بن أكيدر، عن أبيه، عن جده، قال: كتب رسول الله صلى الله عليه وسلم كتابا ولم يكن معه خاتم فختمه بظفره.</w:t>
      </w:r>
    </w:p>
    <w:p/>
    <w:p>
      <w:pPr/>
      <w:r>
        <w:rPr/>
        <w:t xml:space="preserve">واستدركه ابن الأثير. وقد تقدم ذكر أبيه في حرف الألف.</w:t>
      </w:r>
    </w:p>
    <w:p>
      <w:pPr>
        <w:jc w:val="start"/>
        <w:bidi/>
      </w:pPr>
      <w:r>
        <w:rPr>
          <w:sz w:val="24"/>
          <w:szCs w:val="24"/>
          <w:b w:val="1"/>
          <w:bCs w:val="1"/>
          <w:rtl/>
        </w:rPr>
        <w:t xml:space="preserve">
الإصابة في تمييز الصحابة،(دار الكتب العلمية - بيروت،1995،ط 1،ج 4،ص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2026-07-27T14:13:47+03:00</dcterms:created>
  <dcterms:modified xsi:type="dcterms:W3CDTF">2026-07-27T14:13:47+03:00</dcterms:modified>
</cp:coreProperties>
</file>

<file path=docProps/custom.xml><?xml version="1.0" encoding="utf-8"?>
<Properties xmlns="http://schemas.openxmlformats.org/officeDocument/2006/custom-properties" xmlns:vt="http://schemas.openxmlformats.org/officeDocument/2006/docPropsVTypes"/>
</file>